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32838" w14:textId="11D2A31D" w:rsidR="00EA37A8" w:rsidRPr="00943EBA" w:rsidRDefault="00CB02FF" w:rsidP="00943EBA">
      <w:pPr>
        <w:jc w:val="center"/>
        <w:rPr>
          <w:b/>
          <w:bCs/>
          <w:sz w:val="28"/>
          <w:szCs w:val="28"/>
        </w:rPr>
      </w:pPr>
      <w:r w:rsidRPr="00943EBA">
        <w:rPr>
          <w:b/>
          <w:bCs/>
          <w:sz w:val="28"/>
          <w:szCs w:val="28"/>
        </w:rPr>
        <w:t>Research Report Findings:</w:t>
      </w:r>
    </w:p>
    <w:p w14:paraId="4753041C" w14:textId="77777777" w:rsidR="00943EBA" w:rsidRDefault="00CB02FF" w:rsidP="00943EBA">
      <w:pPr>
        <w:jc w:val="center"/>
        <w:rPr>
          <w:b/>
          <w:bCs/>
          <w:sz w:val="28"/>
          <w:szCs w:val="28"/>
        </w:rPr>
      </w:pPr>
      <w:r w:rsidRPr="00943EBA">
        <w:rPr>
          <w:b/>
          <w:bCs/>
          <w:sz w:val="28"/>
          <w:szCs w:val="28"/>
        </w:rPr>
        <w:t xml:space="preserve">Investing in Dismantling Structural Racism </w:t>
      </w:r>
    </w:p>
    <w:p w14:paraId="62A6A55E" w14:textId="2B431395" w:rsidR="00CB02FF" w:rsidRPr="00943EBA" w:rsidRDefault="00CB02FF" w:rsidP="00943EBA">
      <w:pPr>
        <w:jc w:val="center"/>
        <w:rPr>
          <w:b/>
          <w:bCs/>
          <w:sz w:val="28"/>
          <w:szCs w:val="28"/>
        </w:rPr>
      </w:pPr>
      <w:r w:rsidRPr="00943EBA">
        <w:rPr>
          <w:b/>
          <w:bCs/>
          <w:sz w:val="28"/>
          <w:szCs w:val="28"/>
        </w:rPr>
        <w:t xml:space="preserve">and </w:t>
      </w:r>
      <w:r w:rsidR="00C135C8" w:rsidRPr="00943EBA">
        <w:rPr>
          <w:b/>
          <w:bCs/>
          <w:sz w:val="28"/>
          <w:szCs w:val="28"/>
        </w:rPr>
        <w:t>Economic Inequity</w:t>
      </w:r>
      <w:r w:rsidRPr="00943EBA">
        <w:rPr>
          <w:b/>
          <w:bCs/>
          <w:sz w:val="28"/>
          <w:szCs w:val="28"/>
        </w:rPr>
        <w:t xml:space="preserve"> in Rural America</w:t>
      </w:r>
    </w:p>
    <w:p w14:paraId="049F1A2E" w14:textId="77777777" w:rsidR="00FA2C34" w:rsidRPr="00943EBA" w:rsidRDefault="00FA2C34" w:rsidP="00943EBA">
      <w:pPr>
        <w:jc w:val="center"/>
        <w:rPr>
          <w:b/>
          <w:bCs/>
          <w:sz w:val="28"/>
          <w:szCs w:val="28"/>
        </w:rPr>
      </w:pPr>
    </w:p>
    <w:p w14:paraId="69975B7C" w14:textId="56D17CDD" w:rsidR="00FA2C34" w:rsidRPr="00B953EA" w:rsidRDefault="00FA2C34" w:rsidP="00943EBA">
      <w:pPr>
        <w:jc w:val="center"/>
        <w:rPr>
          <w:rFonts w:cs="Arial"/>
          <w:szCs w:val="22"/>
        </w:rPr>
      </w:pPr>
      <w:r w:rsidRPr="00B953EA">
        <w:rPr>
          <w:rFonts w:cs="Arial"/>
          <w:szCs w:val="22"/>
        </w:rPr>
        <w:t xml:space="preserve">By </w:t>
      </w:r>
      <w:proofErr w:type="spellStart"/>
      <w:r w:rsidRPr="00B953EA">
        <w:rPr>
          <w:rFonts w:cs="Arial"/>
          <w:szCs w:val="22"/>
        </w:rPr>
        <w:t>Linetta</w:t>
      </w:r>
      <w:proofErr w:type="spellEnd"/>
      <w:r w:rsidRPr="00B953EA">
        <w:rPr>
          <w:rFonts w:cs="Arial"/>
          <w:szCs w:val="22"/>
        </w:rPr>
        <w:t xml:space="preserve"> Gilbert, Darryl Lester, Peter </w:t>
      </w:r>
      <w:proofErr w:type="spellStart"/>
      <w:r w:rsidRPr="00B953EA">
        <w:rPr>
          <w:rFonts w:cs="Arial"/>
          <w:szCs w:val="22"/>
        </w:rPr>
        <w:t>Plastrik</w:t>
      </w:r>
      <w:proofErr w:type="spellEnd"/>
      <w:r w:rsidRPr="00B953EA">
        <w:rPr>
          <w:rFonts w:cs="Arial"/>
          <w:szCs w:val="22"/>
        </w:rPr>
        <w:t>,</w:t>
      </w:r>
    </w:p>
    <w:p w14:paraId="192633A1" w14:textId="2CAB143E" w:rsidR="00FA2C34" w:rsidRDefault="00FA2C34" w:rsidP="00943EBA">
      <w:pPr>
        <w:jc w:val="center"/>
        <w:rPr>
          <w:rFonts w:cs="Arial"/>
          <w:szCs w:val="22"/>
        </w:rPr>
      </w:pPr>
      <w:r w:rsidRPr="00B953EA">
        <w:rPr>
          <w:rFonts w:cs="Arial"/>
          <w:szCs w:val="22"/>
        </w:rPr>
        <w:t>Olivia Roanhorse, Vanessa Roanhorse, Maggie Ullman</w:t>
      </w:r>
    </w:p>
    <w:p w14:paraId="3A344ED0" w14:textId="77777777" w:rsidR="00FA2C34" w:rsidRDefault="00FA2C34" w:rsidP="00943EBA">
      <w:pPr>
        <w:jc w:val="center"/>
        <w:rPr>
          <w:b/>
          <w:bCs/>
        </w:rPr>
      </w:pPr>
    </w:p>
    <w:p w14:paraId="238C959D" w14:textId="66A4A500" w:rsidR="00CB02FF" w:rsidRDefault="00CB02FF" w:rsidP="00CB02FF">
      <w:pPr>
        <w:tabs>
          <w:tab w:val="left" w:pos="4770"/>
        </w:tabs>
        <w:rPr>
          <w:rFonts w:cs="Arial"/>
          <w:szCs w:val="22"/>
        </w:rPr>
      </w:pPr>
      <w:r>
        <w:rPr>
          <w:rFonts w:cs="Arial"/>
          <w:szCs w:val="22"/>
        </w:rPr>
        <w:t xml:space="preserve">In 2021, we undertook research to provide recommendations to the Robert Wood Johnson Foundation for development of a network to help to dismantle structural racism and </w:t>
      </w:r>
      <w:r w:rsidR="00C135C8">
        <w:rPr>
          <w:rFonts w:cs="Arial"/>
          <w:szCs w:val="22"/>
        </w:rPr>
        <w:t>economic inequity</w:t>
      </w:r>
      <w:r>
        <w:rPr>
          <w:rFonts w:cs="Arial"/>
          <w:szCs w:val="22"/>
        </w:rPr>
        <w:t xml:space="preserve"> in rural America. </w:t>
      </w:r>
      <w:r w:rsidRPr="00B953EA">
        <w:rPr>
          <w:rFonts w:cs="Arial"/>
          <w:szCs w:val="22"/>
        </w:rPr>
        <w:t xml:space="preserve">This </w:t>
      </w:r>
      <w:r>
        <w:rPr>
          <w:rFonts w:cs="Arial"/>
          <w:szCs w:val="22"/>
        </w:rPr>
        <w:t xml:space="preserve">public-facing </w:t>
      </w:r>
      <w:r w:rsidRPr="00B953EA">
        <w:rPr>
          <w:rFonts w:cs="Arial"/>
          <w:szCs w:val="22"/>
        </w:rPr>
        <w:t xml:space="preserve">report details findings from </w:t>
      </w:r>
      <w:r>
        <w:rPr>
          <w:rFonts w:cs="Arial"/>
          <w:szCs w:val="22"/>
        </w:rPr>
        <w:t xml:space="preserve">the </w:t>
      </w:r>
      <w:r w:rsidRPr="00B953EA">
        <w:rPr>
          <w:rFonts w:cs="Arial"/>
          <w:szCs w:val="22"/>
        </w:rPr>
        <w:t>research</w:t>
      </w:r>
      <w:r>
        <w:rPr>
          <w:rFonts w:cs="Arial"/>
          <w:szCs w:val="22"/>
        </w:rPr>
        <w:t>:</w:t>
      </w:r>
    </w:p>
    <w:p w14:paraId="37CE70AD" w14:textId="77777777" w:rsidR="00CB02FF" w:rsidRDefault="00CB02FF" w:rsidP="00CB02FF">
      <w:pPr>
        <w:tabs>
          <w:tab w:val="left" w:pos="4770"/>
        </w:tabs>
        <w:rPr>
          <w:rFonts w:cs="Arial"/>
          <w:szCs w:val="22"/>
        </w:rPr>
      </w:pPr>
    </w:p>
    <w:p w14:paraId="01D77FC6" w14:textId="77777777" w:rsidR="00CB02FF" w:rsidRDefault="00CB02FF" w:rsidP="00CB02FF">
      <w:pPr>
        <w:pStyle w:val="ListParagraph"/>
        <w:numPr>
          <w:ilvl w:val="0"/>
          <w:numId w:val="1"/>
        </w:numPr>
        <w:tabs>
          <w:tab w:val="left" w:pos="4770"/>
        </w:tabs>
        <w:rPr>
          <w:rFonts w:cs="Arial"/>
          <w:szCs w:val="22"/>
        </w:rPr>
      </w:pPr>
      <w:r>
        <w:rPr>
          <w:rFonts w:cs="Arial"/>
          <w:szCs w:val="22"/>
        </w:rPr>
        <w:t>Principles for Conducting Anti-Racism Work</w:t>
      </w:r>
    </w:p>
    <w:p w14:paraId="2739E76B" w14:textId="77777777" w:rsidR="00CB02FF" w:rsidRDefault="00CB02FF" w:rsidP="00CB02FF">
      <w:pPr>
        <w:pStyle w:val="ListParagraph"/>
        <w:numPr>
          <w:ilvl w:val="0"/>
          <w:numId w:val="1"/>
        </w:numPr>
        <w:tabs>
          <w:tab w:val="left" w:pos="4770"/>
        </w:tabs>
        <w:rPr>
          <w:rFonts w:cs="Arial"/>
          <w:szCs w:val="22"/>
        </w:rPr>
      </w:pPr>
      <w:r>
        <w:rPr>
          <w:rFonts w:cs="Arial"/>
          <w:szCs w:val="22"/>
        </w:rPr>
        <w:t>Defining Key Terms</w:t>
      </w:r>
    </w:p>
    <w:p w14:paraId="1C92256F" w14:textId="77777777" w:rsidR="00FA2C34" w:rsidRDefault="00FA2C34" w:rsidP="00CB02FF">
      <w:pPr>
        <w:pStyle w:val="ListParagraph"/>
        <w:numPr>
          <w:ilvl w:val="0"/>
          <w:numId w:val="1"/>
        </w:numPr>
        <w:tabs>
          <w:tab w:val="left" w:pos="4770"/>
        </w:tabs>
        <w:rPr>
          <w:rFonts w:cs="Arial"/>
          <w:szCs w:val="22"/>
        </w:rPr>
      </w:pPr>
      <w:r>
        <w:rPr>
          <w:rFonts w:cs="Arial"/>
          <w:szCs w:val="22"/>
        </w:rPr>
        <w:t>Geography of People of Color and Poverty in Rural Areas – with downloadable database</w:t>
      </w:r>
    </w:p>
    <w:p w14:paraId="4E2D12AB" w14:textId="77777777" w:rsidR="00FA2C34" w:rsidRDefault="00FA2C34" w:rsidP="00CB02FF">
      <w:pPr>
        <w:pStyle w:val="ListParagraph"/>
        <w:numPr>
          <w:ilvl w:val="0"/>
          <w:numId w:val="1"/>
        </w:numPr>
        <w:tabs>
          <w:tab w:val="left" w:pos="4770"/>
        </w:tabs>
        <w:rPr>
          <w:rFonts w:cs="Arial"/>
          <w:szCs w:val="22"/>
        </w:rPr>
      </w:pPr>
      <w:r>
        <w:rPr>
          <w:rFonts w:cs="Arial"/>
          <w:szCs w:val="22"/>
        </w:rPr>
        <w:t>Five-Year Budget for Investing in a Rural Anti-Racism Network</w:t>
      </w:r>
    </w:p>
    <w:p w14:paraId="062FB0D7" w14:textId="32320430" w:rsidR="00FA2C34" w:rsidRDefault="00FA2C34" w:rsidP="00CB02FF">
      <w:pPr>
        <w:pStyle w:val="ListParagraph"/>
        <w:numPr>
          <w:ilvl w:val="0"/>
          <w:numId w:val="1"/>
        </w:numPr>
        <w:tabs>
          <w:tab w:val="left" w:pos="4770"/>
        </w:tabs>
        <w:rPr>
          <w:rFonts w:cs="Arial"/>
          <w:szCs w:val="22"/>
        </w:rPr>
      </w:pPr>
      <w:r>
        <w:rPr>
          <w:rFonts w:cs="Arial"/>
          <w:szCs w:val="22"/>
        </w:rPr>
        <w:t>Reading Resources</w:t>
      </w:r>
    </w:p>
    <w:p w14:paraId="43D765A7" w14:textId="2E0F8785" w:rsidR="00FA2C34" w:rsidRDefault="00FA2C34" w:rsidP="00FA2C34">
      <w:pPr>
        <w:tabs>
          <w:tab w:val="left" w:pos="4770"/>
        </w:tabs>
        <w:rPr>
          <w:rFonts w:cs="Arial"/>
          <w:szCs w:val="22"/>
        </w:rPr>
      </w:pPr>
    </w:p>
    <w:p w14:paraId="2ACA16C3" w14:textId="77777777" w:rsidR="00B260C0" w:rsidRPr="00A548D4" w:rsidRDefault="00B260C0" w:rsidP="00A548D4">
      <w:pPr>
        <w:rPr>
          <w:b/>
          <w:bCs/>
        </w:rPr>
      </w:pPr>
      <w:r w:rsidRPr="00A548D4">
        <w:rPr>
          <w:b/>
          <w:bCs/>
        </w:rPr>
        <w:t>Project Partners</w:t>
      </w:r>
    </w:p>
    <w:p w14:paraId="25D7F1F6" w14:textId="77777777" w:rsidR="00B260C0" w:rsidRPr="009A3BB1" w:rsidRDefault="00B260C0" w:rsidP="00B260C0">
      <w:pPr>
        <w:rPr>
          <w:b/>
          <w:bCs/>
          <w:szCs w:val="22"/>
        </w:rPr>
      </w:pPr>
    </w:p>
    <w:p w14:paraId="686A29E7" w14:textId="325D2E52" w:rsidR="00B260C0" w:rsidRPr="00030D98" w:rsidRDefault="00B260C0" w:rsidP="00B260C0">
      <w:pPr>
        <w:rPr>
          <w:szCs w:val="22"/>
        </w:rPr>
      </w:pPr>
      <w:r w:rsidRPr="00030D98">
        <w:rPr>
          <w:szCs w:val="22"/>
        </w:rPr>
        <w:t xml:space="preserve">This project </w:t>
      </w:r>
      <w:r w:rsidR="00A548D4">
        <w:rPr>
          <w:szCs w:val="22"/>
        </w:rPr>
        <w:t>wa</w:t>
      </w:r>
      <w:r w:rsidRPr="00030D98">
        <w:rPr>
          <w:szCs w:val="22"/>
        </w:rPr>
        <w:t>s led through a collaboration of four project partners. The project team brings expertise, lived multicultural experience, and project-development experience in three areas critical for project success: rural development, cultural competencies</w:t>
      </w:r>
      <w:r>
        <w:rPr>
          <w:szCs w:val="22"/>
        </w:rPr>
        <w:t>,</w:t>
      </w:r>
      <w:r w:rsidRPr="00030D98">
        <w:rPr>
          <w:szCs w:val="22"/>
        </w:rPr>
        <w:t xml:space="preserve"> and network development. The team is made up of </w:t>
      </w:r>
      <w:r w:rsidR="00943EBA">
        <w:rPr>
          <w:szCs w:val="22"/>
        </w:rPr>
        <w:t>t</w:t>
      </w:r>
      <w:r w:rsidRPr="00030D98">
        <w:rPr>
          <w:szCs w:val="22"/>
        </w:rPr>
        <w:t xml:space="preserve">he Innovation Network for Communities, Gilbert &amp; Associates, Roanhorse Consulting, </w:t>
      </w:r>
      <w:r w:rsidRPr="00030D98">
        <w:rPr>
          <w:color w:val="131516"/>
          <w:szCs w:val="22"/>
          <w:shd w:val="clear" w:color="auto" w:fill="FFFFFF"/>
        </w:rPr>
        <w:t xml:space="preserve">and </w:t>
      </w:r>
      <w:r w:rsidRPr="00030D98">
        <w:rPr>
          <w:szCs w:val="22"/>
        </w:rPr>
        <w:t>Ullman Consulting</w:t>
      </w:r>
      <w:r w:rsidRPr="00030D98">
        <w:rPr>
          <w:bCs/>
          <w:color w:val="131516"/>
          <w:szCs w:val="22"/>
          <w:shd w:val="clear" w:color="auto" w:fill="FFFFFF"/>
        </w:rPr>
        <w:t xml:space="preserve">. </w:t>
      </w:r>
    </w:p>
    <w:p w14:paraId="660258F2" w14:textId="77777777" w:rsidR="00B260C0" w:rsidRPr="00030D98" w:rsidRDefault="00B260C0" w:rsidP="00B260C0">
      <w:pPr>
        <w:rPr>
          <w:szCs w:val="22"/>
        </w:rPr>
      </w:pPr>
    </w:p>
    <w:p w14:paraId="1E9B0CC2" w14:textId="5CCB8D1D" w:rsidR="00B260C0" w:rsidRPr="00030D98" w:rsidRDefault="00B260C0" w:rsidP="00B260C0">
      <w:pPr>
        <w:rPr>
          <w:szCs w:val="22"/>
        </w:rPr>
      </w:pPr>
      <w:r w:rsidRPr="00030D98">
        <w:rPr>
          <w:szCs w:val="22"/>
        </w:rPr>
        <w:t xml:space="preserve">The partners have had different experiences living and working in and with rural places across the US. </w:t>
      </w:r>
    </w:p>
    <w:p w14:paraId="235C1AF9" w14:textId="77777777" w:rsidR="00B260C0" w:rsidRPr="00030D98" w:rsidRDefault="00B260C0" w:rsidP="00B260C0">
      <w:pPr>
        <w:rPr>
          <w:szCs w:val="22"/>
        </w:rPr>
      </w:pPr>
      <w:r w:rsidRPr="00030D98">
        <w:rPr>
          <w:szCs w:val="22"/>
        </w:rPr>
        <w:t xml:space="preserve">At the outset, the organizations agreed to operate the project as a partnership of equals, with decisions by consensus and parity in pay. </w:t>
      </w:r>
    </w:p>
    <w:p w14:paraId="24CEC0E0" w14:textId="77777777" w:rsidR="00B260C0" w:rsidRDefault="00B260C0" w:rsidP="00FA2C34">
      <w:pPr>
        <w:tabs>
          <w:tab w:val="left" w:pos="4770"/>
        </w:tabs>
        <w:rPr>
          <w:rFonts w:cs="Arial"/>
          <w:szCs w:val="22"/>
        </w:rPr>
      </w:pPr>
    </w:p>
    <w:p w14:paraId="169377C2" w14:textId="77777777" w:rsidR="00FA2C34" w:rsidRPr="00FA2C34" w:rsidRDefault="00FA2C34" w:rsidP="00FA2C34">
      <w:pPr>
        <w:tabs>
          <w:tab w:val="left" w:pos="4770"/>
        </w:tabs>
        <w:rPr>
          <w:rFonts w:cs="Arial"/>
          <w:b/>
          <w:bCs/>
          <w:szCs w:val="22"/>
        </w:rPr>
      </w:pPr>
      <w:r w:rsidRPr="00FA2C34">
        <w:rPr>
          <w:rFonts w:cs="Arial"/>
          <w:b/>
          <w:bCs/>
          <w:szCs w:val="22"/>
        </w:rPr>
        <w:t>Principles for Conducting Anti-Racism Work</w:t>
      </w:r>
    </w:p>
    <w:p w14:paraId="3693F87F" w14:textId="77777777" w:rsidR="00FA2C34" w:rsidRPr="00B953EA" w:rsidRDefault="00FA2C34" w:rsidP="00FA2C34">
      <w:pPr>
        <w:tabs>
          <w:tab w:val="left" w:pos="4770"/>
        </w:tabs>
        <w:rPr>
          <w:rFonts w:cs="Arial"/>
          <w:b/>
          <w:bCs/>
          <w:szCs w:val="22"/>
        </w:rPr>
      </w:pPr>
    </w:p>
    <w:p w14:paraId="65B10058" w14:textId="77777777" w:rsidR="00FA2C34" w:rsidRPr="00B953EA" w:rsidRDefault="00FA2C34" w:rsidP="00FA2C34">
      <w:pPr>
        <w:rPr>
          <w:rFonts w:cs="Arial"/>
          <w:szCs w:val="22"/>
        </w:rPr>
      </w:pPr>
      <w:r w:rsidRPr="00B953EA">
        <w:rPr>
          <w:rFonts w:cs="Arial"/>
          <w:szCs w:val="22"/>
        </w:rPr>
        <w:t xml:space="preserve">Based on the team’s research processes—interviews, literature review, and own lived experiences—we </w:t>
      </w:r>
      <w:r>
        <w:rPr>
          <w:rFonts w:cs="Arial"/>
          <w:szCs w:val="22"/>
        </w:rPr>
        <w:t>adopt</w:t>
      </w:r>
      <w:r w:rsidRPr="00B953EA">
        <w:rPr>
          <w:rFonts w:cs="Arial"/>
          <w:szCs w:val="22"/>
        </w:rPr>
        <w:t xml:space="preserve">ed a set of guiding principles about working for racial equity, whether in rural areas or elsewhere. These principles are a work-in-progress, not finished or perfect, to be refined and improved through conversations, learning, practice, and relationship-building with others. </w:t>
      </w:r>
    </w:p>
    <w:p w14:paraId="52671280" w14:textId="77777777" w:rsidR="00FA2C34" w:rsidRPr="00B953EA" w:rsidRDefault="00FA2C34" w:rsidP="00FA2C34">
      <w:pPr>
        <w:rPr>
          <w:rFonts w:cs="Arial"/>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FA2C34" w:rsidRPr="00B953EA" w14:paraId="41CD3F61" w14:textId="77777777" w:rsidTr="0079620A">
        <w:tc>
          <w:tcPr>
            <w:tcW w:w="9350" w:type="dxa"/>
            <w:shd w:val="clear" w:color="auto" w:fill="auto"/>
          </w:tcPr>
          <w:p w14:paraId="573D8CDE" w14:textId="77777777" w:rsidR="00FA2C34" w:rsidRPr="00B953EA" w:rsidRDefault="00FA2C34" w:rsidP="002661CD">
            <w:pPr>
              <w:jc w:val="center"/>
              <w:rPr>
                <w:rFonts w:cs="Arial"/>
                <w:b/>
                <w:bCs/>
                <w:color w:val="000000" w:themeColor="text1"/>
                <w:szCs w:val="22"/>
              </w:rPr>
            </w:pPr>
            <w:r w:rsidRPr="00B953EA">
              <w:rPr>
                <w:rFonts w:cs="Arial"/>
                <w:b/>
                <w:bCs/>
                <w:color w:val="000000" w:themeColor="text1"/>
                <w:szCs w:val="22"/>
              </w:rPr>
              <w:t>Guiding Principles</w:t>
            </w:r>
          </w:p>
          <w:p w14:paraId="6F520EB7" w14:textId="77777777" w:rsidR="00FA2C34" w:rsidRPr="00B953EA" w:rsidRDefault="00FA2C34" w:rsidP="002661CD">
            <w:pPr>
              <w:rPr>
                <w:rFonts w:cs="Arial"/>
                <w:color w:val="000000" w:themeColor="text1"/>
                <w:szCs w:val="22"/>
              </w:rPr>
            </w:pPr>
          </w:p>
          <w:p w14:paraId="3A0B7C2A" w14:textId="77777777" w:rsidR="00FA2C34" w:rsidRPr="00B953EA" w:rsidRDefault="00FA2C34" w:rsidP="002661CD">
            <w:pPr>
              <w:pStyle w:val="ListParagraph"/>
              <w:numPr>
                <w:ilvl w:val="0"/>
                <w:numId w:val="2"/>
              </w:numPr>
              <w:rPr>
                <w:rFonts w:cs="Arial"/>
                <w:color w:val="000000" w:themeColor="text1"/>
                <w:szCs w:val="22"/>
              </w:rPr>
            </w:pPr>
            <w:r w:rsidRPr="00B953EA">
              <w:rPr>
                <w:rFonts w:cs="Arial"/>
                <w:color w:val="000000" w:themeColor="text1"/>
                <w:szCs w:val="22"/>
              </w:rPr>
              <w:t>Beware of engaging in “dysfunctional rescue.”</w:t>
            </w:r>
          </w:p>
          <w:p w14:paraId="65A7307F" w14:textId="77777777" w:rsidR="00FA2C34" w:rsidRPr="00B953EA" w:rsidRDefault="00FA2C34" w:rsidP="002661CD">
            <w:pPr>
              <w:pStyle w:val="ListParagraph"/>
              <w:numPr>
                <w:ilvl w:val="0"/>
                <w:numId w:val="2"/>
              </w:numPr>
              <w:rPr>
                <w:rFonts w:cs="Arial"/>
                <w:color w:val="000000" w:themeColor="text1"/>
                <w:szCs w:val="22"/>
              </w:rPr>
            </w:pPr>
            <w:r w:rsidRPr="00B953EA">
              <w:rPr>
                <w:rFonts w:cs="Arial"/>
                <w:color w:val="000000" w:themeColor="text1"/>
                <w:szCs w:val="22"/>
              </w:rPr>
              <w:t xml:space="preserve">Don’t treat racism as something that’s just “out there”; it’s “in here” too. </w:t>
            </w:r>
          </w:p>
          <w:p w14:paraId="59FC5ECA" w14:textId="77777777" w:rsidR="00FA2C34" w:rsidRPr="00B953EA" w:rsidRDefault="00FA2C34" w:rsidP="002661CD">
            <w:pPr>
              <w:pStyle w:val="ListParagraph"/>
              <w:numPr>
                <w:ilvl w:val="0"/>
                <w:numId w:val="2"/>
              </w:numPr>
              <w:rPr>
                <w:rFonts w:cs="Arial"/>
                <w:color w:val="000000" w:themeColor="text1"/>
                <w:szCs w:val="22"/>
              </w:rPr>
            </w:pPr>
            <w:r w:rsidRPr="00B953EA">
              <w:rPr>
                <w:rFonts w:cs="Arial"/>
                <w:color w:val="000000" w:themeColor="text1"/>
                <w:szCs w:val="22"/>
              </w:rPr>
              <w:t>Center people and communities most impacted by structural racism.</w:t>
            </w:r>
          </w:p>
        </w:tc>
      </w:tr>
    </w:tbl>
    <w:p w14:paraId="7A053777" w14:textId="77777777" w:rsidR="00FA2C34" w:rsidRPr="00B953EA" w:rsidRDefault="00FA2C34" w:rsidP="00FA2C34">
      <w:pPr>
        <w:rPr>
          <w:rFonts w:cs="Arial"/>
          <w:szCs w:val="22"/>
        </w:rPr>
      </w:pPr>
    </w:p>
    <w:tbl>
      <w:tblPr>
        <w:tblpPr w:leftFromText="180" w:rightFromText="180" w:vertAnchor="text" w:horzAnchor="margin" w:tblpXSpec="right" w:tblpY="1004"/>
        <w:tblW w:w="0" w:type="auto"/>
        <w:tblLook w:val="04A0" w:firstRow="1" w:lastRow="0" w:firstColumn="1" w:lastColumn="0" w:noHBand="0" w:noVBand="1"/>
      </w:tblPr>
      <w:tblGrid>
        <w:gridCol w:w="4060"/>
      </w:tblGrid>
      <w:tr w:rsidR="00FA2C34" w:rsidRPr="00B953EA" w14:paraId="06650253" w14:textId="77777777" w:rsidTr="0079620A">
        <w:tc>
          <w:tcPr>
            <w:tcW w:w="4060" w:type="dxa"/>
            <w:tcBorders>
              <w:top w:val="single" w:sz="4" w:space="0" w:color="auto"/>
              <w:left w:val="single" w:sz="4" w:space="0" w:color="auto"/>
              <w:bottom w:val="single" w:sz="4" w:space="0" w:color="auto"/>
              <w:right w:val="single" w:sz="4" w:space="0" w:color="auto"/>
            </w:tcBorders>
            <w:shd w:val="clear" w:color="auto" w:fill="auto"/>
          </w:tcPr>
          <w:p w14:paraId="352DB828" w14:textId="77777777" w:rsidR="00FA2C34" w:rsidRPr="008157D8" w:rsidRDefault="00FA2C34" w:rsidP="002661CD">
            <w:pPr>
              <w:rPr>
                <w:rFonts w:cs="Arial"/>
                <w:i/>
                <w:iCs/>
                <w:sz w:val="20"/>
                <w:szCs w:val="20"/>
              </w:rPr>
            </w:pPr>
            <w:r w:rsidRPr="008157D8">
              <w:rPr>
                <w:rFonts w:cs="Arial"/>
                <w:i/>
                <w:iCs/>
                <w:sz w:val="20"/>
                <w:szCs w:val="20"/>
              </w:rPr>
              <w:t>The irony of a project of empowerment is that it requires victims.</w:t>
            </w:r>
          </w:p>
          <w:p w14:paraId="35FEADF9" w14:textId="77777777" w:rsidR="00FA2C34" w:rsidRPr="00B953EA" w:rsidRDefault="00FA2C34" w:rsidP="002661CD">
            <w:pPr>
              <w:rPr>
                <w:rFonts w:cs="Arial"/>
                <w:szCs w:val="22"/>
              </w:rPr>
            </w:pPr>
            <w:r w:rsidRPr="008157D8">
              <w:rPr>
                <w:rFonts w:cs="Arial"/>
                <w:sz w:val="20"/>
                <w:szCs w:val="20"/>
              </w:rPr>
              <w:t>—Edgar Villanueva</w:t>
            </w:r>
            <w:r w:rsidRPr="008157D8">
              <w:rPr>
                <w:rStyle w:val="FootnoteReference"/>
                <w:rFonts w:cs="Arial"/>
                <w:sz w:val="20"/>
                <w:szCs w:val="20"/>
              </w:rPr>
              <w:footnoteReference w:id="1"/>
            </w:r>
          </w:p>
        </w:tc>
      </w:tr>
    </w:tbl>
    <w:p w14:paraId="6C16EDF6" w14:textId="77777777" w:rsidR="00FA2C34" w:rsidRPr="00943EBA" w:rsidRDefault="00FA2C34" w:rsidP="00FA2C34">
      <w:pPr>
        <w:pStyle w:val="ListParagraph"/>
        <w:numPr>
          <w:ilvl w:val="0"/>
          <w:numId w:val="6"/>
        </w:numPr>
        <w:rPr>
          <w:b/>
          <w:bCs/>
          <w:sz w:val="24"/>
        </w:rPr>
      </w:pPr>
      <w:r w:rsidRPr="00943EBA">
        <w:rPr>
          <w:b/>
          <w:bCs/>
          <w:sz w:val="24"/>
        </w:rPr>
        <w:t xml:space="preserve">Beware of engaging in “dysfunctional rescue.” </w:t>
      </w:r>
    </w:p>
    <w:p w14:paraId="46B3DEF8" w14:textId="77777777" w:rsidR="00FA2C34" w:rsidRPr="00B953EA" w:rsidRDefault="00FA2C34" w:rsidP="00FA2C34">
      <w:pPr>
        <w:pStyle w:val="ListParagraph"/>
        <w:ind w:left="360"/>
        <w:rPr>
          <w:rFonts w:cs="Arial"/>
          <w:szCs w:val="22"/>
        </w:rPr>
      </w:pPr>
    </w:p>
    <w:p w14:paraId="5674A3F2" w14:textId="3BC6C7CC" w:rsidR="00FA2C34" w:rsidRDefault="00FA2C34" w:rsidP="00FA2C34">
      <w:pPr>
        <w:rPr>
          <w:rFonts w:cs="Arial"/>
          <w:szCs w:val="22"/>
        </w:rPr>
      </w:pPr>
      <w:r w:rsidRPr="000261B8">
        <w:rPr>
          <w:rFonts w:cs="Arial"/>
          <w:szCs w:val="22"/>
        </w:rPr>
        <w:t xml:space="preserve">The instinct to be a savior should not give way to actions that (a) disempower those who are to be saved, (b) overlook the realities they face and the knowledge they have about problems and solutions, (c) result in new “extractive” activities, or (d) perceive them through a deficit lens. These are huge risks that must be </w:t>
      </w:r>
      <w:r w:rsidRPr="000261B8">
        <w:rPr>
          <w:rFonts w:cs="Arial"/>
          <w:szCs w:val="22"/>
        </w:rPr>
        <w:lastRenderedPageBreak/>
        <w:t xml:space="preserve">avoided because they have substantial potential to do new harm. Our team has identified practices used by frontline organizations that can ensure that dysfunctional rescue does not occur when tackling structural racism: </w:t>
      </w:r>
    </w:p>
    <w:p w14:paraId="53EBA5F0" w14:textId="77777777" w:rsidR="00943EBA" w:rsidRPr="00FA2C34" w:rsidRDefault="00943EBA" w:rsidP="00FA2C34">
      <w:pPr>
        <w:rPr>
          <w:rFonts w:cs="Arial"/>
          <w:szCs w:val="22"/>
        </w:rPr>
      </w:pPr>
    </w:p>
    <w:tbl>
      <w:tblPr>
        <w:tblpPr w:leftFromText="180" w:rightFromText="180" w:vertAnchor="text" w:horzAnchor="margin" w:tblpXSpec="right" w:tblpY="663"/>
        <w:tblW w:w="0" w:type="auto"/>
        <w:shd w:val="clear" w:color="auto" w:fill="FBE4D5" w:themeFill="accent2" w:themeFillTint="33"/>
        <w:tblLook w:val="04A0" w:firstRow="1" w:lastRow="0" w:firstColumn="1" w:lastColumn="0" w:noHBand="0" w:noVBand="1"/>
      </w:tblPr>
      <w:tblGrid>
        <w:gridCol w:w="4050"/>
      </w:tblGrid>
      <w:tr w:rsidR="00FA2C34" w:rsidRPr="00793D1D" w14:paraId="6AFEF26B" w14:textId="77777777" w:rsidTr="0079620A">
        <w:tc>
          <w:tcPr>
            <w:tcW w:w="4050" w:type="dxa"/>
            <w:tcBorders>
              <w:top w:val="single" w:sz="4" w:space="0" w:color="auto"/>
              <w:left w:val="single" w:sz="4" w:space="0" w:color="auto"/>
              <w:bottom w:val="single" w:sz="4" w:space="0" w:color="auto"/>
              <w:right w:val="single" w:sz="4" w:space="0" w:color="auto"/>
            </w:tcBorders>
            <w:shd w:val="clear" w:color="auto" w:fill="auto"/>
          </w:tcPr>
          <w:p w14:paraId="53C26CBB" w14:textId="77777777" w:rsidR="00FA2C34" w:rsidRPr="008157D8" w:rsidRDefault="00FA2C34" w:rsidP="002661CD">
            <w:pPr>
              <w:rPr>
                <w:rFonts w:cs="Arial"/>
                <w:i/>
                <w:iCs/>
                <w:sz w:val="20"/>
                <w:szCs w:val="20"/>
              </w:rPr>
            </w:pPr>
            <w:r w:rsidRPr="008157D8">
              <w:rPr>
                <w:rFonts w:cs="Arial"/>
                <w:i/>
                <w:iCs/>
                <w:sz w:val="20"/>
                <w:szCs w:val="20"/>
              </w:rPr>
              <w:t>Community work is complex. It is nuanced. It is homegrown. . . The community tells us what best aligns and fits with their intentions and priorities.</w:t>
            </w:r>
          </w:p>
          <w:p w14:paraId="64D21866" w14:textId="77777777" w:rsidR="00FA2C34" w:rsidRPr="00793D1D" w:rsidRDefault="00FA2C34" w:rsidP="002661CD">
            <w:pPr>
              <w:rPr>
                <w:rFonts w:ascii="Georgia" w:hAnsi="Georgia" w:cs="Arial"/>
                <w:sz w:val="20"/>
                <w:szCs w:val="20"/>
              </w:rPr>
            </w:pPr>
            <w:r w:rsidRPr="008157D8">
              <w:rPr>
                <w:rFonts w:cs="Arial"/>
                <w:sz w:val="20"/>
                <w:szCs w:val="20"/>
              </w:rPr>
              <w:t>—Gaby Strong</w:t>
            </w:r>
            <w:r w:rsidRPr="008157D8">
              <w:rPr>
                <w:rStyle w:val="FootnoteReference"/>
                <w:rFonts w:cs="Arial"/>
                <w:sz w:val="20"/>
                <w:szCs w:val="20"/>
              </w:rPr>
              <w:footnoteReference w:id="2"/>
            </w:r>
          </w:p>
        </w:tc>
      </w:tr>
    </w:tbl>
    <w:p w14:paraId="51A6EC41" w14:textId="77777777" w:rsidR="00FA2C34" w:rsidRPr="00B953EA" w:rsidRDefault="00FA2C34" w:rsidP="00FA2C34">
      <w:pPr>
        <w:pStyle w:val="ListParagraph"/>
        <w:numPr>
          <w:ilvl w:val="0"/>
          <w:numId w:val="3"/>
        </w:numPr>
        <w:rPr>
          <w:rFonts w:cs="Arial"/>
          <w:color w:val="000000" w:themeColor="text1"/>
          <w:szCs w:val="22"/>
        </w:rPr>
      </w:pPr>
      <w:r w:rsidRPr="00B953EA">
        <w:rPr>
          <w:rFonts w:cs="Arial"/>
          <w:b/>
          <w:bCs/>
          <w:i/>
          <w:iCs/>
          <w:szCs w:val="22"/>
        </w:rPr>
        <w:t>Frontline communities first.</w:t>
      </w:r>
      <w:r w:rsidRPr="00B953EA">
        <w:rPr>
          <w:rFonts w:cs="Arial"/>
          <w:szCs w:val="22"/>
        </w:rPr>
        <w:t xml:space="preserve"> Frontline leaders in communities of place are the absolutely necessary starting points for efforts to dismantle structural racism. People at the grassroots and frontlines have the deep knowledge from lived experience that best informs the how and what of anti-racism efforts. They know how structures enact racism and who their allies inside structures may be. </w:t>
      </w:r>
      <w:r w:rsidRPr="00B953EA">
        <w:rPr>
          <w:rFonts w:cs="Arial"/>
          <w:color w:val="000000" w:themeColor="text1"/>
          <w:szCs w:val="22"/>
        </w:rPr>
        <w:t xml:space="preserve">Without their knowledge and energies there is the risk that efforts launched from the outside could worsen local racial and poverty problems. A powerful lever for systems change is </w:t>
      </w:r>
      <w:r w:rsidRPr="00B953EA">
        <w:rPr>
          <w:rFonts w:cs="Arial"/>
          <w:i/>
          <w:iCs/>
          <w:szCs w:val="22"/>
        </w:rPr>
        <w:t>relational change</w:t>
      </w:r>
      <w:r w:rsidRPr="00B953EA">
        <w:rPr>
          <w:rFonts w:cs="Arial"/>
          <w:szCs w:val="22"/>
        </w:rPr>
        <w:t xml:space="preserve">—relationships and connections, and power dynamics among people or organizations.  </w:t>
      </w:r>
    </w:p>
    <w:p w14:paraId="0BC25D59" w14:textId="77777777" w:rsidR="00FA2C34" w:rsidRPr="00B953EA" w:rsidRDefault="00FA2C34" w:rsidP="00FA2C34">
      <w:pPr>
        <w:rPr>
          <w:szCs w:val="22"/>
        </w:rPr>
      </w:pPr>
    </w:p>
    <w:p w14:paraId="6CDF5084" w14:textId="71A3D812" w:rsidR="00FA2C34" w:rsidRPr="0079620A" w:rsidRDefault="00FA2C34" w:rsidP="00FA2C34">
      <w:pPr>
        <w:pStyle w:val="ListParagraph"/>
        <w:numPr>
          <w:ilvl w:val="0"/>
          <w:numId w:val="4"/>
        </w:numPr>
        <w:rPr>
          <w:rFonts w:cs="Arial"/>
          <w:color w:val="000000" w:themeColor="text1"/>
          <w:szCs w:val="22"/>
        </w:rPr>
      </w:pPr>
      <w:r>
        <w:rPr>
          <w:rFonts w:cs="Arial"/>
          <w:b/>
          <w:i/>
          <w:iCs/>
          <w:szCs w:val="22"/>
        </w:rPr>
        <w:t>D</w:t>
      </w:r>
      <w:r w:rsidRPr="00B953EA">
        <w:rPr>
          <w:rFonts w:cs="Arial"/>
          <w:b/>
          <w:i/>
          <w:iCs/>
          <w:szCs w:val="22"/>
        </w:rPr>
        <w:t>esigned and led</w:t>
      </w:r>
      <w:r>
        <w:rPr>
          <w:rFonts w:cs="Arial"/>
          <w:b/>
          <w:i/>
          <w:iCs/>
          <w:szCs w:val="22"/>
        </w:rPr>
        <w:t xml:space="preserve"> by people of color</w:t>
      </w:r>
      <w:r w:rsidRPr="00B953EA">
        <w:rPr>
          <w:rFonts w:cs="Arial"/>
          <w:b/>
          <w:i/>
          <w:iCs/>
          <w:szCs w:val="22"/>
        </w:rPr>
        <w:t>.</w:t>
      </w:r>
      <w:r w:rsidRPr="00B953EA">
        <w:rPr>
          <w:rFonts w:cs="Arial"/>
          <w:b/>
          <w:szCs w:val="22"/>
        </w:rPr>
        <w:t xml:space="preserve"> </w:t>
      </w:r>
      <w:r w:rsidRPr="00B953EA">
        <w:rPr>
          <w:rFonts w:cs="Arial"/>
          <w:szCs w:val="22"/>
        </w:rPr>
        <w:t xml:space="preserve">White people have important roles to play in anti-racist work, but they must recognize whether and how to use </w:t>
      </w:r>
      <w:r w:rsidRPr="00B953EA">
        <w:rPr>
          <w:rFonts w:cs="Arial"/>
          <w:i/>
          <w:szCs w:val="22"/>
        </w:rPr>
        <w:t xml:space="preserve">and not use </w:t>
      </w:r>
      <w:r w:rsidRPr="00B953EA">
        <w:rPr>
          <w:rFonts w:cs="Arial"/>
          <w:szCs w:val="22"/>
        </w:rPr>
        <w:t xml:space="preserve">their privilege and resources. Otherwise, they risk unintentionally perpetuating racist power dynamics and a deficit and victim view of people of color. This ignores and stifles the self-drive, knowledge, and creativity that people of color bring to anti-racist efforts when they lead. </w:t>
      </w:r>
      <w:r w:rsidRPr="00B953EA">
        <w:rPr>
          <w:rFonts w:cs="Arial"/>
          <w:color w:val="000000" w:themeColor="text1"/>
          <w:szCs w:val="22"/>
        </w:rPr>
        <w:t xml:space="preserve">Work on rural racism should be led by </w:t>
      </w:r>
      <w:r>
        <w:rPr>
          <w:rFonts w:cs="Arial"/>
          <w:color w:val="000000" w:themeColor="text1"/>
          <w:szCs w:val="22"/>
        </w:rPr>
        <w:t>people of color—i</w:t>
      </w:r>
      <w:r w:rsidRPr="00B953EA">
        <w:rPr>
          <w:rFonts w:cs="Arial"/>
          <w:color w:val="000000" w:themeColor="text1"/>
          <w:szCs w:val="22"/>
        </w:rPr>
        <w:t>ndividuals and organizations</w:t>
      </w:r>
      <w:r>
        <w:rPr>
          <w:rFonts w:cs="Arial"/>
          <w:color w:val="000000" w:themeColor="text1"/>
          <w:szCs w:val="22"/>
        </w:rPr>
        <w:t>—</w:t>
      </w:r>
      <w:r w:rsidRPr="00B953EA">
        <w:rPr>
          <w:rFonts w:cs="Arial"/>
          <w:color w:val="000000" w:themeColor="text1"/>
          <w:szCs w:val="22"/>
        </w:rPr>
        <w:t xml:space="preserve">with parity built into alliances with </w:t>
      </w:r>
      <w:r w:rsidR="00246089">
        <w:rPr>
          <w:rFonts w:cs="Arial"/>
          <w:color w:val="000000" w:themeColor="text1"/>
          <w:szCs w:val="22"/>
        </w:rPr>
        <w:t>w</w:t>
      </w:r>
      <w:r w:rsidRPr="00B953EA">
        <w:rPr>
          <w:rFonts w:cs="Arial"/>
          <w:color w:val="000000" w:themeColor="text1"/>
          <w:szCs w:val="22"/>
        </w:rPr>
        <w:t>hite-led organizations, including philanthropies.</w:t>
      </w:r>
      <w:r w:rsidRPr="00B953EA">
        <w:rPr>
          <w:rFonts w:cs="Arial"/>
          <w:noProof/>
          <w:szCs w:val="22"/>
        </w:rPr>
        <w:t xml:space="preserve"> </w:t>
      </w:r>
      <w:r>
        <w:rPr>
          <w:rFonts w:cs="Arial"/>
          <w:noProof/>
          <w:szCs w:val="22"/>
        </w:rPr>
        <w:t xml:space="preserve"> </w:t>
      </w:r>
    </w:p>
    <w:p w14:paraId="7337E694" w14:textId="77777777" w:rsidR="0079620A" w:rsidRPr="00FA2C34" w:rsidRDefault="0079620A" w:rsidP="000877A4">
      <w:pPr>
        <w:pStyle w:val="ListParagraph"/>
        <w:rPr>
          <w:rFonts w:cs="Arial"/>
          <w:color w:val="000000" w:themeColor="text1"/>
          <w:szCs w:val="22"/>
        </w:rPr>
      </w:pPr>
    </w:p>
    <w:tbl>
      <w:tblPr>
        <w:tblpPr w:leftFromText="180" w:rightFromText="180" w:vertAnchor="text" w:horzAnchor="margin" w:tblpXSpec="right" w:tblpY="300"/>
        <w:tblW w:w="0" w:type="auto"/>
        <w:tblLook w:val="04A0" w:firstRow="1" w:lastRow="0" w:firstColumn="1" w:lastColumn="0" w:noHBand="0" w:noVBand="1"/>
      </w:tblPr>
      <w:tblGrid>
        <w:gridCol w:w="4055"/>
      </w:tblGrid>
      <w:tr w:rsidR="00FA2C34" w:rsidRPr="00793D1D" w14:paraId="68E87DA2" w14:textId="77777777" w:rsidTr="00943EBA">
        <w:tc>
          <w:tcPr>
            <w:tcW w:w="4055" w:type="dxa"/>
            <w:tcBorders>
              <w:top w:val="single" w:sz="4" w:space="0" w:color="auto"/>
              <w:left w:val="single" w:sz="4" w:space="0" w:color="auto"/>
              <w:bottom w:val="single" w:sz="4" w:space="0" w:color="auto"/>
              <w:right w:val="single" w:sz="4" w:space="0" w:color="auto"/>
            </w:tcBorders>
            <w:shd w:val="clear" w:color="auto" w:fill="auto"/>
          </w:tcPr>
          <w:p w14:paraId="779282F5" w14:textId="77777777" w:rsidR="00FA2C34" w:rsidRPr="00AA075C" w:rsidRDefault="00FA2C34" w:rsidP="002661CD">
            <w:pPr>
              <w:rPr>
                <w:rFonts w:cs="Arial"/>
                <w:i/>
                <w:iCs/>
                <w:sz w:val="20"/>
                <w:szCs w:val="20"/>
              </w:rPr>
            </w:pPr>
            <w:r w:rsidRPr="00AA075C">
              <w:rPr>
                <w:rFonts w:cs="Arial"/>
                <w:i/>
                <w:iCs/>
                <w:sz w:val="20"/>
                <w:szCs w:val="20"/>
              </w:rPr>
              <w:t>Even before failing to listen, funders and investors often exert control by framing the conversation and asking only certain kinds of questions.</w:t>
            </w:r>
          </w:p>
          <w:p w14:paraId="4AB6FBD9" w14:textId="77777777" w:rsidR="00FA2C34" w:rsidRPr="00793D1D" w:rsidRDefault="00FA2C34" w:rsidP="002661CD">
            <w:pPr>
              <w:rPr>
                <w:rFonts w:ascii="Georgia" w:hAnsi="Georgia" w:cs="Arial"/>
                <w:szCs w:val="22"/>
              </w:rPr>
            </w:pPr>
            <w:r w:rsidRPr="00AA075C">
              <w:rPr>
                <w:rFonts w:cs="Arial"/>
                <w:sz w:val="20"/>
                <w:szCs w:val="20"/>
              </w:rPr>
              <w:t>—Edgar Villanueva</w:t>
            </w:r>
            <w:r w:rsidRPr="00AA075C">
              <w:rPr>
                <w:rStyle w:val="FootnoteReference"/>
                <w:rFonts w:cs="Arial"/>
                <w:sz w:val="20"/>
                <w:szCs w:val="20"/>
              </w:rPr>
              <w:footnoteReference w:id="3"/>
            </w:r>
          </w:p>
        </w:tc>
      </w:tr>
    </w:tbl>
    <w:p w14:paraId="3A28ACD5" w14:textId="77777777" w:rsidR="00FA2C34" w:rsidRPr="00B953EA" w:rsidRDefault="00FA2C34" w:rsidP="00FA2C34">
      <w:pPr>
        <w:pStyle w:val="ListParagraph"/>
        <w:numPr>
          <w:ilvl w:val="0"/>
          <w:numId w:val="4"/>
        </w:numPr>
        <w:rPr>
          <w:rFonts w:cs="Arial"/>
          <w:szCs w:val="22"/>
        </w:rPr>
      </w:pPr>
      <w:r w:rsidRPr="00B953EA">
        <w:rPr>
          <w:rFonts w:cs="Arial"/>
          <w:b/>
          <w:i/>
          <w:iCs/>
          <w:szCs w:val="22"/>
        </w:rPr>
        <w:t>Reciprocity, not extraction</w:t>
      </w:r>
      <w:r w:rsidRPr="00B953EA">
        <w:rPr>
          <w:rFonts w:cs="Arial"/>
          <w:i/>
          <w:iCs/>
          <w:szCs w:val="22"/>
        </w:rPr>
        <w:t>.</w:t>
      </w:r>
      <w:r w:rsidRPr="00B953EA">
        <w:rPr>
          <w:rFonts w:cs="Arial"/>
          <w:szCs w:val="22"/>
        </w:rPr>
        <w:t xml:space="preserve"> Efforts to develop anti-racist efforts—information gathering, analysis, and other processes—should be guided by reciprocity, giving back, not just taking. Exchange for mutual benefit is best achieved through co-design of purpose, planning, decisions, and actions.</w:t>
      </w:r>
      <w:r>
        <w:rPr>
          <w:rFonts w:cs="Arial"/>
          <w:szCs w:val="22"/>
        </w:rPr>
        <w:t xml:space="preserve">   </w:t>
      </w:r>
    </w:p>
    <w:p w14:paraId="457B4052" w14:textId="77777777" w:rsidR="00FA2C34" w:rsidRPr="00B468A4" w:rsidRDefault="00FA2C34" w:rsidP="00FA2C34">
      <w:pPr>
        <w:pStyle w:val="ListParagraph"/>
        <w:rPr>
          <w:rFonts w:cs="Arial"/>
          <w:szCs w:val="22"/>
        </w:rPr>
      </w:pPr>
    </w:p>
    <w:p w14:paraId="245F5492" w14:textId="77777777" w:rsidR="00FA2C34" w:rsidRPr="00B953EA" w:rsidRDefault="00FA2C34" w:rsidP="00FA2C34">
      <w:pPr>
        <w:pStyle w:val="ListParagraph"/>
        <w:numPr>
          <w:ilvl w:val="0"/>
          <w:numId w:val="4"/>
        </w:numPr>
        <w:rPr>
          <w:rFonts w:cs="Arial"/>
          <w:szCs w:val="22"/>
        </w:rPr>
      </w:pPr>
      <w:r w:rsidRPr="00B953EA">
        <w:rPr>
          <w:rFonts w:cs="Arial"/>
          <w:b/>
          <w:bCs/>
          <w:i/>
          <w:iCs/>
          <w:szCs w:val="22"/>
        </w:rPr>
        <w:t>Assets, not deficits.</w:t>
      </w:r>
      <w:r w:rsidRPr="00B953EA">
        <w:rPr>
          <w:rFonts w:cs="Arial"/>
          <w:b/>
          <w:bCs/>
          <w:szCs w:val="22"/>
        </w:rPr>
        <w:t xml:space="preserve"> </w:t>
      </w:r>
      <w:r w:rsidRPr="00B953EA">
        <w:rPr>
          <w:rFonts w:cs="Arial"/>
          <w:szCs w:val="22"/>
        </w:rPr>
        <w:t xml:space="preserve">A savior mentality almost always falls into the trap of perceiving those who are to be saved through a deficit lens; they lack something and must be saved. This not only disempowers, it ignores the presence of extraordinary </w:t>
      </w:r>
      <w:r>
        <w:rPr>
          <w:rFonts w:cs="Arial"/>
          <w:szCs w:val="22"/>
        </w:rPr>
        <w:t xml:space="preserve">and sometimes underdeveloped </w:t>
      </w:r>
      <w:r w:rsidRPr="00B953EA">
        <w:rPr>
          <w:rFonts w:cs="Arial"/>
          <w:szCs w:val="22"/>
        </w:rPr>
        <w:t xml:space="preserve">assets at the individual, organizational, and community levels. Assets that can be increased and built on in the effort to end intergenerational poverty and racism.     </w:t>
      </w:r>
    </w:p>
    <w:p w14:paraId="783C2327" w14:textId="77777777" w:rsidR="00FA2C34" w:rsidRPr="00B953EA" w:rsidRDefault="00FA2C34" w:rsidP="00FA2C34">
      <w:pPr>
        <w:rPr>
          <w:rFonts w:cs="Arial"/>
          <w:color w:val="000000" w:themeColor="text1"/>
          <w:szCs w:val="22"/>
        </w:rPr>
      </w:pPr>
    </w:p>
    <w:p w14:paraId="361D7F43" w14:textId="77777777" w:rsidR="00FA2C34" w:rsidRPr="00943EBA" w:rsidRDefault="00FA2C34" w:rsidP="00FA2C34">
      <w:pPr>
        <w:pStyle w:val="ListParagraph"/>
        <w:numPr>
          <w:ilvl w:val="0"/>
          <w:numId w:val="6"/>
        </w:numPr>
        <w:rPr>
          <w:rFonts w:cs="Arial"/>
          <w:b/>
          <w:bCs/>
          <w:sz w:val="24"/>
        </w:rPr>
      </w:pPr>
      <w:r w:rsidRPr="00943EBA">
        <w:rPr>
          <w:b/>
          <w:bCs/>
          <w:sz w:val="24"/>
        </w:rPr>
        <w:t>Don’t treat racism as just “out there”; it’s “in here” too.</w:t>
      </w:r>
      <w:r w:rsidRPr="00943EBA">
        <w:rPr>
          <w:rFonts w:cs="Arial"/>
          <w:b/>
          <w:bCs/>
          <w:sz w:val="24"/>
        </w:rPr>
        <w:t xml:space="preserve"> </w:t>
      </w:r>
    </w:p>
    <w:p w14:paraId="24A7FCFE" w14:textId="77777777" w:rsidR="00FA2C34" w:rsidRPr="00B953EA" w:rsidRDefault="00FA2C34" w:rsidP="00FA2C34">
      <w:pPr>
        <w:contextualSpacing/>
        <w:rPr>
          <w:szCs w:val="22"/>
          <w:shd w:val="clear" w:color="auto" w:fill="FFFFFF"/>
        </w:rPr>
      </w:pPr>
    </w:p>
    <w:p w14:paraId="5BA152F8" w14:textId="77777777" w:rsidR="00FA2C34" w:rsidRPr="00B953EA" w:rsidRDefault="00FA2C34" w:rsidP="00FA2C34">
      <w:pPr>
        <w:rPr>
          <w:rFonts w:cs="Arial"/>
          <w:szCs w:val="22"/>
        </w:rPr>
      </w:pPr>
      <w:r w:rsidRPr="00B953EA">
        <w:rPr>
          <w:rFonts w:cs="Arial"/>
          <w:szCs w:val="22"/>
        </w:rPr>
        <w:t xml:space="preserve">The practice of anti-racism is personal as well as institutional; “in here” as well as “out there.” The personal level is where relationships blossom and where racial healing occurs. From there, bonds of care between people can be extended to organizations and communities. Yet a great </w:t>
      </w:r>
    </w:p>
    <w:tbl>
      <w:tblPr>
        <w:tblStyle w:val="TableGrid"/>
        <w:tblpPr w:leftFromText="180" w:rightFromText="180" w:vertAnchor="text" w:horzAnchor="margin" w:tblpXSpec="right" w:tblpY="32"/>
        <w:tblW w:w="0" w:type="auto"/>
        <w:shd w:val="clear" w:color="auto" w:fill="FBE4D5" w:themeFill="accent2" w:themeFillTint="33"/>
        <w:tblLook w:val="04A0" w:firstRow="1" w:lastRow="0" w:firstColumn="1" w:lastColumn="0" w:noHBand="0" w:noVBand="1"/>
      </w:tblPr>
      <w:tblGrid>
        <w:gridCol w:w="4050"/>
      </w:tblGrid>
      <w:tr w:rsidR="00FA2C34" w:rsidRPr="00B953EA" w14:paraId="6FB34311" w14:textId="77777777" w:rsidTr="00943EBA">
        <w:tc>
          <w:tcPr>
            <w:tcW w:w="4050" w:type="dxa"/>
            <w:shd w:val="clear" w:color="auto" w:fill="auto"/>
          </w:tcPr>
          <w:p w14:paraId="56F8E4DC" w14:textId="77777777" w:rsidR="00FA2C34" w:rsidRPr="00801478" w:rsidRDefault="00FA2C34" w:rsidP="002661CD">
            <w:pPr>
              <w:rPr>
                <w:rFonts w:ascii="Athelas" w:hAnsi="Athelas" w:cs="Arial"/>
                <w:i/>
                <w:iCs/>
                <w:sz w:val="20"/>
                <w:szCs w:val="20"/>
              </w:rPr>
            </w:pPr>
            <w:r w:rsidRPr="00801478">
              <w:rPr>
                <w:rFonts w:ascii="Athelas" w:hAnsi="Athelas" w:cs="Arial"/>
                <w:i/>
                <w:iCs/>
                <w:sz w:val="20"/>
                <w:szCs w:val="20"/>
              </w:rPr>
              <w:t>Fundamentally racism—its heartbeat—has always been denial. And the sound of that heartbeat has always been “I’m not a racist.” To be more specific, the sound of that heartbeat has always been “not racist.”</w:t>
            </w:r>
          </w:p>
          <w:p w14:paraId="2570B3ED" w14:textId="77777777" w:rsidR="00FA2C34" w:rsidRPr="00B953EA" w:rsidRDefault="00FA2C34" w:rsidP="002661CD">
            <w:pPr>
              <w:rPr>
                <w:rFonts w:ascii="Athelas" w:hAnsi="Athelas" w:cs="Arial"/>
                <w:i/>
                <w:iCs/>
                <w:sz w:val="22"/>
                <w:szCs w:val="22"/>
              </w:rPr>
            </w:pPr>
            <w:r w:rsidRPr="00801478">
              <w:rPr>
                <w:rFonts w:ascii="Athelas" w:hAnsi="Athelas" w:cs="Arial"/>
                <w:sz w:val="20"/>
                <w:szCs w:val="20"/>
              </w:rPr>
              <w:lastRenderedPageBreak/>
              <w:t>--</w:t>
            </w:r>
            <w:proofErr w:type="spellStart"/>
            <w:r w:rsidRPr="00801478">
              <w:rPr>
                <w:rFonts w:ascii="Athelas" w:hAnsi="Athelas" w:cs="Arial"/>
                <w:sz w:val="20"/>
                <w:szCs w:val="20"/>
              </w:rPr>
              <w:t>Ibram</w:t>
            </w:r>
            <w:proofErr w:type="spellEnd"/>
            <w:r w:rsidRPr="00801478">
              <w:rPr>
                <w:rFonts w:ascii="Athelas" w:hAnsi="Athelas" w:cs="Arial"/>
                <w:sz w:val="20"/>
                <w:szCs w:val="20"/>
              </w:rPr>
              <w:t xml:space="preserve"> </w:t>
            </w:r>
            <w:proofErr w:type="spellStart"/>
            <w:r w:rsidRPr="00801478">
              <w:rPr>
                <w:rFonts w:ascii="Athelas" w:hAnsi="Athelas" w:cs="Arial"/>
                <w:sz w:val="20"/>
                <w:szCs w:val="20"/>
              </w:rPr>
              <w:t>Kendi</w:t>
            </w:r>
            <w:proofErr w:type="spellEnd"/>
            <w:r w:rsidRPr="00801478">
              <w:rPr>
                <w:rStyle w:val="FootnoteReference"/>
                <w:rFonts w:ascii="Athelas" w:hAnsi="Athelas" w:cs="Arial"/>
                <w:sz w:val="20"/>
                <w:szCs w:val="20"/>
              </w:rPr>
              <w:footnoteReference w:id="4"/>
            </w:r>
            <w:r w:rsidRPr="00B953EA">
              <w:rPr>
                <w:rFonts w:ascii="Athelas" w:hAnsi="Athelas" w:cs="Arial"/>
                <w:i/>
                <w:iCs/>
                <w:sz w:val="22"/>
                <w:szCs w:val="22"/>
              </w:rPr>
              <w:t xml:space="preserve"> </w:t>
            </w:r>
          </w:p>
        </w:tc>
      </w:tr>
    </w:tbl>
    <w:p w14:paraId="4B20D750" w14:textId="545F9E96" w:rsidR="00FA2C34" w:rsidRPr="00B953EA" w:rsidRDefault="00FA2C34" w:rsidP="00FA2C34">
      <w:pPr>
        <w:rPr>
          <w:rFonts w:cs="Arial"/>
          <w:szCs w:val="22"/>
        </w:rPr>
      </w:pPr>
      <w:r w:rsidRPr="00B953EA">
        <w:rPr>
          <w:rFonts w:cs="Arial"/>
          <w:szCs w:val="22"/>
        </w:rPr>
        <w:lastRenderedPageBreak/>
        <w:t xml:space="preserve">deal of the national conversation about anti-racism tends to treat the racism that is embedded in policies and structures, and overlooks how it lives in ongoing </w:t>
      </w:r>
      <w:r w:rsidRPr="00B953EA">
        <w:rPr>
          <w:rFonts w:cs="Arial"/>
          <w:i/>
          <w:iCs/>
          <w:szCs w:val="22"/>
        </w:rPr>
        <w:t>personal</w:t>
      </w:r>
      <w:r w:rsidRPr="00B953EA">
        <w:rPr>
          <w:rFonts w:cs="Arial"/>
          <w:szCs w:val="22"/>
        </w:rPr>
        <w:t xml:space="preserve"> traumas, even of </w:t>
      </w:r>
      <w:r w:rsidR="00246089">
        <w:rPr>
          <w:rFonts w:cs="Arial"/>
          <w:szCs w:val="22"/>
        </w:rPr>
        <w:t>w</w:t>
      </w:r>
      <w:r w:rsidRPr="00B953EA">
        <w:rPr>
          <w:rFonts w:cs="Arial"/>
          <w:szCs w:val="22"/>
        </w:rPr>
        <w:t xml:space="preserve">hite </w:t>
      </w:r>
    </w:p>
    <w:p w14:paraId="45F106E2" w14:textId="77777777" w:rsidR="00FA2C34" w:rsidRPr="00B953EA" w:rsidRDefault="00FA2C34" w:rsidP="00FA2C34">
      <w:pPr>
        <w:rPr>
          <w:rFonts w:cs="Arial"/>
          <w:szCs w:val="22"/>
        </w:rPr>
      </w:pPr>
      <w:r w:rsidRPr="00B953EA">
        <w:rPr>
          <w:rFonts w:cs="Arial"/>
          <w:szCs w:val="22"/>
        </w:rPr>
        <w:t xml:space="preserve">people. </w:t>
      </w:r>
    </w:p>
    <w:p w14:paraId="4AA1D861" w14:textId="77777777" w:rsidR="00FA2C34" w:rsidRPr="00B953EA" w:rsidRDefault="00FA2C34" w:rsidP="00FA2C34">
      <w:pPr>
        <w:rPr>
          <w:rFonts w:cs="Arial"/>
          <w:szCs w:val="22"/>
        </w:rPr>
      </w:pPr>
    </w:p>
    <w:p w14:paraId="3DF6D7A2" w14:textId="77777777" w:rsidR="00FA2C34" w:rsidRPr="00B953EA" w:rsidRDefault="00FA2C34" w:rsidP="00FA2C34">
      <w:pPr>
        <w:rPr>
          <w:rFonts w:cs="Arial"/>
          <w:b/>
          <w:bCs/>
          <w:i/>
          <w:iCs/>
          <w:szCs w:val="22"/>
        </w:rPr>
      </w:pPr>
      <w:r w:rsidRPr="00B953EA">
        <w:rPr>
          <w:rFonts w:cs="Arial"/>
          <w:szCs w:val="22"/>
        </w:rPr>
        <w:t>We have identified several practices to anchor anti-racism work in the personal:</w:t>
      </w:r>
    </w:p>
    <w:p w14:paraId="41BB25E3" w14:textId="77777777" w:rsidR="00FA2C34" w:rsidRPr="00B953EA" w:rsidRDefault="00FA2C34" w:rsidP="00FA2C34">
      <w:pPr>
        <w:rPr>
          <w:szCs w:val="22"/>
        </w:rPr>
      </w:pPr>
    </w:p>
    <w:p w14:paraId="43A94C9B" w14:textId="77777777" w:rsidR="00FA2C34" w:rsidRPr="00B953EA" w:rsidRDefault="00FA2C34" w:rsidP="00FA2C34">
      <w:pPr>
        <w:pStyle w:val="ListParagraph"/>
        <w:numPr>
          <w:ilvl w:val="0"/>
          <w:numId w:val="4"/>
        </w:numPr>
        <w:rPr>
          <w:rFonts w:cs="Arial"/>
          <w:b/>
          <w:bCs/>
          <w:szCs w:val="22"/>
        </w:rPr>
      </w:pPr>
      <w:r w:rsidRPr="00B953EA">
        <w:rPr>
          <w:rFonts w:cs="Arial"/>
          <w:b/>
          <w:bCs/>
          <w:i/>
          <w:iCs/>
          <w:szCs w:val="22"/>
        </w:rPr>
        <w:t xml:space="preserve">Personal truth telling. </w:t>
      </w:r>
      <w:r w:rsidRPr="00B953EA">
        <w:rPr>
          <w:rFonts w:cs="Arial"/>
          <w:szCs w:val="22"/>
        </w:rPr>
        <w:t>It’s essential to truth-</w:t>
      </w:r>
      <w:proofErr w:type="gramStart"/>
      <w:r w:rsidRPr="00B953EA">
        <w:rPr>
          <w:rFonts w:cs="Arial"/>
          <w:szCs w:val="22"/>
        </w:rPr>
        <w:t>tell</w:t>
      </w:r>
      <w:proofErr w:type="gramEnd"/>
      <w:r w:rsidRPr="00B953EA">
        <w:rPr>
          <w:rFonts w:cs="Arial"/>
          <w:szCs w:val="22"/>
        </w:rPr>
        <w:t xml:space="preserve"> about one’s own experiences with racism, as well as to develop an understanding of how government, community, economic, and other structures explicitly and implicitly perpetuate racism. This is the foundation for building trusting, meaningful relationships across racial lines.</w:t>
      </w:r>
    </w:p>
    <w:p w14:paraId="50ECB9AA" w14:textId="77777777" w:rsidR="00FA2C34" w:rsidRPr="00B953EA" w:rsidRDefault="00FA2C34" w:rsidP="00FA2C34">
      <w:pPr>
        <w:pStyle w:val="ListParagraph"/>
        <w:rPr>
          <w:rFonts w:cs="Arial"/>
          <w:b/>
          <w:bCs/>
          <w:szCs w:val="22"/>
        </w:rPr>
      </w:pPr>
    </w:p>
    <w:p w14:paraId="249B830E" w14:textId="77777777" w:rsidR="00FA2C34" w:rsidRPr="00B953EA" w:rsidRDefault="00FA2C34" w:rsidP="00FA2C34">
      <w:pPr>
        <w:numPr>
          <w:ilvl w:val="0"/>
          <w:numId w:val="5"/>
        </w:numPr>
        <w:spacing w:line="276" w:lineRule="auto"/>
        <w:rPr>
          <w:rFonts w:cs="Arial"/>
          <w:szCs w:val="22"/>
        </w:rPr>
      </w:pPr>
      <w:r w:rsidRPr="00B953EA">
        <w:rPr>
          <w:rFonts w:cs="Arial"/>
          <w:b/>
          <w:i/>
          <w:iCs/>
          <w:szCs w:val="22"/>
        </w:rPr>
        <w:t>Heart before head</w:t>
      </w:r>
      <w:r w:rsidRPr="00B953EA">
        <w:rPr>
          <w:rFonts w:cs="Arial"/>
          <w:i/>
          <w:iCs/>
          <w:szCs w:val="22"/>
        </w:rPr>
        <w:t>.</w:t>
      </w:r>
      <w:r w:rsidRPr="00B953EA">
        <w:rPr>
          <w:rFonts w:cs="Arial"/>
          <w:szCs w:val="22"/>
        </w:rPr>
        <w:t xml:space="preserve"> Relationship building in the context of anti-racism work starts with the heart—the sharing of feelings, intuitions, vulnerabilities, beliefs, and opinions with each other, and the authentic emotional responses to the heart-sharing of others. This develops the empathy, caring, and feeling of “safety” that is crucial to building trust among people and engaging in often uncomfortable conversations and work about racism. Heart work is the foundation upon which head work--analysis, measurement, assessment, ideas—can be built.    </w:t>
      </w:r>
    </w:p>
    <w:p w14:paraId="6469013F" w14:textId="77777777" w:rsidR="00FA2C34" w:rsidRPr="00B953EA" w:rsidRDefault="00FA2C34" w:rsidP="00FA2C34">
      <w:pPr>
        <w:spacing w:line="276" w:lineRule="auto"/>
        <w:rPr>
          <w:rFonts w:cs="Arial"/>
          <w:szCs w:val="22"/>
        </w:rPr>
      </w:pPr>
    </w:p>
    <w:p w14:paraId="2B61B956" w14:textId="77777777" w:rsidR="00FA2C34" w:rsidRPr="00943EBA" w:rsidRDefault="00FA2C34" w:rsidP="00FA2C34">
      <w:pPr>
        <w:pStyle w:val="ListParagraph"/>
        <w:numPr>
          <w:ilvl w:val="0"/>
          <w:numId w:val="6"/>
        </w:numPr>
        <w:rPr>
          <w:b/>
          <w:bCs/>
          <w:sz w:val="24"/>
        </w:rPr>
      </w:pPr>
      <w:r w:rsidRPr="00943EBA">
        <w:rPr>
          <w:b/>
          <w:bCs/>
          <w:sz w:val="24"/>
        </w:rPr>
        <w:t xml:space="preserve">Center people and communities most impacted by structural racism. </w:t>
      </w:r>
    </w:p>
    <w:p w14:paraId="5F0FDDD9" w14:textId="77777777" w:rsidR="00FA2C34" w:rsidRPr="00B953EA" w:rsidRDefault="00FA2C34" w:rsidP="00FA2C34">
      <w:pPr>
        <w:pStyle w:val="ListParagraph"/>
        <w:ind w:left="420"/>
        <w:rPr>
          <w:rFonts w:cs="Arial"/>
          <w:color w:val="000000" w:themeColor="text1"/>
          <w:szCs w:val="22"/>
        </w:rPr>
      </w:pPr>
    </w:p>
    <w:p w14:paraId="573F1A6F" w14:textId="77777777" w:rsidR="00FA2C34" w:rsidRDefault="00FA2C34" w:rsidP="00FA2C34">
      <w:pPr>
        <w:pStyle w:val="ListParagraph"/>
        <w:ind w:left="0"/>
        <w:rPr>
          <w:rFonts w:cs="Arial"/>
          <w:color w:val="000000" w:themeColor="text1"/>
          <w:szCs w:val="22"/>
        </w:rPr>
      </w:pPr>
      <w:r w:rsidRPr="00B953EA">
        <w:rPr>
          <w:rFonts w:cs="Arial"/>
          <w:color w:val="000000" w:themeColor="text1"/>
          <w:szCs w:val="22"/>
        </w:rPr>
        <w:t>Racial and ethnic minority groups in rural areas may benefit from general improvements in economic and community development (the “rising-tide-lifts-all-boats” approach), but targeted efforts that center entirely on generating racial equity and justice are essential.</w:t>
      </w:r>
      <w:r>
        <w:rPr>
          <w:rFonts w:cs="Arial"/>
          <w:color w:val="000000" w:themeColor="text1"/>
          <w:szCs w:val="22"/>
        </w:rPr>
        <w:t xml:space="preserve"> An argument for centering race in rural areas, rather than just “lensing” it, can be found in Cynthia Duncan and Jessica </w:t>
      </w:r>
      <w:proofErr w:type="spellStart"/>
      <w:r>
        <w:rPr>
          <w:rFonts w:cs="Arial"/>
          <w:color w:val="000000" w:themeColor="text1"/>
          <w:szCs w:val="22"/>
        </w:rPr>
        <w:t>Ulricvh-Schad’s</w:t>
      </w:r>
      <w:proofErr w:type="spellEnd"/>
      <w:r>
        <w:rPr>
          <w:rFonts w:cs="Arial"/>
          <w:color w:val="000000" w:themeColor="text1"/>
          <w:szCs w:val="22"/>
        </w:rPr>
        <w:t xml:space="preserve"> “Marginalization of Rural Communities in the U.S.” which states that “in most cases, persistent rural poverty stems not from spatial isolation but from a historical political economy and, in all cases except Appalachia, deep structural racism. These are places where many poor people were deliberately</w:t>
      </w:r>
      <w:r>
        <w:rPr>
          <w:rFonts w:cs="Arial"/>
          <w:color w:val="000000" w:themeColor="text1"/>
          <w:szCs w:val="22"/>
        </w:rPr>
        <w:t xml:space="preserve"> </w:t>
      </w:r>
      <w:r>
        <w:rPr>
          <w:rFonts w:cs="Arial"/>
          <w:color w:val="000000" w:themeColor="text1"/>
          <w:szCs w:val="22"/>
        </w:rPr>
        <w:t>vulnerable to powerful elites and where local corruption undermined local institutions, especially educational institutions, denying the poor access to a decent education and economic opportunity.”</w:t>
      </w:r>
      <w:r>
        <w:rPr>
          <w:rStyle w:val="FootnoteReference"/>
          <w:rFonts w:cs="Arial"/>
          <w:color w:val="000000" w:themeColor="text1"/>
          <w:szCs w:val="22"/>
        </w:rPr>
        <w:footnoteReference w:id="5"/>
      </w:r>
      <w:r>
        <w:rPr>
          <w:rFonts w:cs="Arial"/>
          <w:color w:val="000000" w:themeColor="text1"/>
          <w:szCs w:val="22"/>
        </w:rPr>
        <w:t xml:space="preserve"> </w:t>
      </w:r>
    </w:p>
    <w:p w14:paraId="2AE5F7FC" w14:textId="77777777" w:rsidR="00FA2C34" w:rsidRDefault="00FA2C34" w:rsidP="00FA2C34">
      <w:pPr>
        <w:pStyle w:val="ListParagraph"/>
        <w:ind w:left="0"/>
        <w:rPr>
          <w:rFonts w:cs="Arial"/>
          <w:color w:val="000000" w:themeColor="text1"/>
          <w:szCs w:val="22"/>
        </w:rPr>
      </w:pPr>
    </w:p>
    <w:p w14:paraId="536738FD" w14:textId="77777777" w:rsidR="00FA2C34" w:rsidRPr="00B953EA" w:rsidRDefault="00FA2C34" w:rsidP="00FA2C34">
      <w:pPr>
        <w:pStyle w:val="ListParagraph"/>
        <w:ind w:left="0"/>
        <w:rPr>
          <w:rFonts w:cs="Arial"/>
          <w:color w:val="000000" w:themeColor="text1"/>
          <w:szCs w:val="22"/>
        </w:rPr>
      </w:pPr>
      <w:r w:rsidRPr="00B953EA">
        <w:rPr>
          <w:rFonts w:cs="Arial"/>
          <w:color w:val="000000" w:themeColor="text1"/>
          <w:szCs w:val="22"/>
        </w:rPr>
        <w:t>We see two ways this occurs:</w:t>
      </w:r>
    </w:p>
    <w:p w14:paraId="3A0235D3" w14:textId="77777777" w:rsidR="00FA2C34" w:rsidRPr="00B953EA" w:rsidRDefault="00FA2C34" w:rsidP="00FA2C34">
      <w:pPr>
        <w:tabs>
          <w:tab w:val="left" w:pos="1471"/>
        </w:tabs>
        <w:rPr>
          <w:rFonts w:cs="Arial"/>
          <w:color w:val="000000" w:themeColor="text1"/>
          <w:szCs w:val="22"/>
        </w:rPr>
      </w:pPr>
      <w:r>
        <w:rPr>
          <w:rFonts w:cs="Arial"/>
          <w:color w:val="000000" w:themeColor="text1"/>
          <w:szCs w:val="22"/>
        </w:rPr>
        <w:tab/>
      </w:r>
    </w:p>
    <w:p w14:paraId="01D7B96C" w14:textId="77777777" w:rsidR="00FA2C34" w:rsidRPr="00B953EA" w:rsidRDefault="00FA2C34" w:rsidP="00FA2C34">
      <w:pPr>
        <w:pStyle w:val="ListParagraph"/>
        <w:numPr>
          <w:ilvl w:val="0"/>
          <w:numId w:val="4"/>
        </w:numPr>
        <w:rPr>
          <w:rFonts w:cs="Arial"/>
          <w:color w:val="000000" w:themeColor="text1"/>
          <w:szCs w:val="22"/>
        </w:rPr>
      </w:pPr>
      <w:r w:rsidRPr="00B953EA">
        <w:rPr>
          <w:rFonts w:cs="Arial"/>
          <w:b/>
          <w:bCs/>
          <w:i/>
          <w:iCs/>
          <w:color w:val="000000" w:themeColor="text1"/>
          <w:szCs w:val="22"/>
        </w:rPr>
        <w:t>Mission focus.</w:t>
      </w:r>
      <w:r w:rsidRPr="00B953EA">
        <w:rPr>
          <w:rFonts w:cs="Arial"/>
          <w:b/>
          <w:bCs/>
          <w:color w:val="000000" w:themeColor="text1"/>
          <w:szCs w:val="22"/>
        </w:rPr>
        <w:t xml:space="preserve"> </w:t>
      </w:r>
      <w:r w:rsidRPr="00B953EA">
        <w:rPr>
          <w:rFonts w:cs="Arial"/>
          <w:color w:val="000000" w:themeColor="text1"/>
          <w:szCs w:val="22"/>
        </w:rPr>
        <w:t>Organizations and networks that make racial equity their core mission and organize their work accordingly, naming white supremacy and oppression. Examples include policy advocacy for dismantling racist policies or racial healing processes in communities.</w:t>
      </w:r>
    </w:p>
    <w:p w14:paraId="4BF10893" w14:textId="77777777" w:rsidR="00FA2C34" w:rsidRPr="00B953EA" w:rsidRDefault="00FA2C34" w:rsidP="00FA2C34">
      <w:pPr>
        <w:rPr>
          <w:rFonts w:cs="Arial"/>
          <w:color w:val="000000" w:themeColor="text1"/>
          <w:szCs w:val="22"/>
        </w:rPr>
      </w:pPr>
    </w:p>
    <w:p w14:paraId="78E2CCE9" w14:textId="77777777" w:rsidR="00FA2C34" w:rsidRPr="00181A6C" w:rsidRDefault="00FA2C34" w:rsidP="00FA2C34">
      <w:pPr>
        <w:pStyle w:val="ListParagraph"/>
        <w:numPr>
          <w:ilvl w:val="0"/>
          <w:numId w:val="4"/>
        </w:numPr>
        <w:rPr>
          <w:rFonts w:cs="Arial"/>
          <w:color w:val="000000" w:themeColor="text1"/>
          <w:szCs w:val="22"/>
        </w:rPr>
      </w:pPr>
      <w:r w:rsidRPr="00B953EA">
        <w:rPr>
          <w:rFonts w:cs="Arial"/>
          <w:b/>
          <w:bCs/>
          <w:i/>
          <w:iCs/>
          <w:color w:val="000000" w:themeColor="text1"/>
          <w:szCs w:val="22"/>
        </w:rPr>
        <w:t xml:space="preserve">Population focus. </w:t>
      </w:r>
      <w:r w:rsidRPr="00B953EA">
        <w:rPr>
          <w:rFonts w:cs="Arial"/>
          <w:color w:val="000000" w:themeColor="text1"/>
          <w:szCs w:val="22"/>
        </w:rPr>
        <w:t xml:space="preserve">Organizations and networks that work exclusively with people of color on community and economic development or other types of activities. Examples include Native </w:t>
      </w:r>
      <w:r w:rsidRPr="00181A6C">
        <w:rPr>
          <w:rFonts w:cs="Arial"/>
          <w:color w:val="000000" w:themeColor="text1"/>
          <w:szCs w:val="22"/>
        </w:rPr>
        <w:t>Nations enterprise development, capital access for black farmers, and black philanthropy.</w:t>
      </w:r>
    </w:p>
    <w:p w14:paraId="2FDC11DD" w14:textId="77777777" w:rsidR="00FA2C34" w:rsidRPr="00181A6C" w:rsidRDefault="00FA2C34" w:rsidP="00FA2C34">
      <w:pPr>
        <w:pStyle w:val="ListParagraph"/>
        <w:rPr>
          <w:rFonts w:cs="Arial"/>
          <w:color w:val="000000" w:themeColor="text1"/>
          <w:szCs w:val="22"/>
        </w:rPr>
      </w:pPr>
    </w:p>
    <w:p w14:paraId="28A611A5" w14:textId="77777777" w:rsidR="00FA2C34" w:rsidRPr="00181A6C" w:rsidRDefault="00FA2C34" w:rsidP="00FA2C34">
      <w:pPr>
        <w:rPr>
          <w:rFonts w:cs="Arial"/>
          <w:color w:val="292526"/>
          <w:szCs w:val="22"/>
        </w:rPr>
      </w:pPr>
      <w:r w:rsidRPr="00181A6C">
        <w:rPr>
          <w:rFonts w:cs="Arial"/>
          <w:color w:val="000000" w:themeColor="text1"/>
          <w:szCs w:val="22"/>
        </w:rPr>
        <w:t>Working on racial equity focuses on power and ownership—control—of assets and narrative, not just diversity and inclusion, which boost the presence and engagement of people of color in organizations, communities, and networks. (We use the Aspen Institute’s description of racial equity: “</w:t>
      </w:r>
      <w:r w:rsidRPr="00181A6C">
        <w:rPr>
          <w:rFonts w:cs="Arial"/>
          <w:szCs w:val="22"/>
        </w:rPr>
        <w:t xml:space="preserve">What a genuinely non-racist society would be like, with the distribution of society’s benefits and burdens not skewed by race. </w:t>
      </w:r>
      <w:r w:rsidRPr="00181A6C">
        <w:rPr>
          <w:rFonts w:cs="Arial"/>
          <w:color w:val="292526"/>
          <w:szCs w:val="22"/>
        </w:rPr>
        <w:t xml:space="preserve">This is in contrast to the current state of affairs in which a person of color is more likely to live in poverty, be imprisoned, drop out of high school, be unemployed and experience poor </w:t>
      </w:r>
    </w:p>
    <w:p w14:paraId="05FFAFED" w14:textId="77777777" w:rsidR="00FA2C34" w:rsidRPr="00181A6C" w:rsidRDefault="00FA2C34" w:rsidP="00FA2C34">
      <w:pPr>
        <w:rPr>
          <w:rFonts w:cs="Arial"/>
          <w:color w:val="000000" w:themeColor="text1"/>
          <w:szCs w:val="22"/>
        </w:rPr>
      </w:pPr>
      <w:r w:rsidRPr="00181A6C">
        <w:rPr>
          <w:rFonts w:cs="Arial"/>
          <w:color w:val="000000" w:themeColor="text1"/>
          <w:szCs w:val="22"/>
        </w:rPr>
        <w:lastRenderedPageBreak/>
        <w:t>health outcomes.”) Diversity and inclusion may be steps toward equity, but equity and justice are far more challenging objectives to achieve.</w:t>
      </w:r>
      <w:r w:rsidRPr="00181A6C">
        <w:rPr>
          <w:rStyle w:val="FootnoteReference"/>
          <w:rFonts w:cs="Arial"/>
          <w:color w:val="000000" w:themeColor="text1"/>
          <w:szCs w:val="22"/>
        </w:rPr>
        <w:footnoteReference w:id="6"/>
      </w:r>
    </w:p>
    <w:p w14:paraId="3D0CC76D" w14:textId="77777777" w:rsidR="00FA2C34" w:rsidRDefault="00FA2C34" w:rsidP="00FA2C34">
      <w:pPr>
        <w:rPr>
          <w:rFonts w:cs="Arial"/>
          <w:color w:val="000000" w:themeColor="text1"/>
          <w:szCs w:val="22"/>
        </w:rPr>
      </w:pPr>
    </w:p>
    <w:p w14:paraId="2E4B8082" w14:textId="77777777" w:rsidR="00FA2C34" w:rsidRPr="003F2EC3" w:rsidRDefault="00FA2C34" w:rsidP="00FA2C34">
      <w:pPr>
        <w:rPr>
          <w:rFonts w:cs="Arial"/>
          <w:color w:val="000000" w:themeColor="text1"/>
          <w:szCs w:val="22"/>
        </w:rPr>
      </w:pPr>
      <w:r w:rsidRPr="003F2EC3">
        <w:rPr>
          <w:rFonts w:cs="Arial"/>
          <w:color w:val="000000" w:themeColor="text1"/>
          <w:szCs w:val="22"/>
        </w:rPr>
        <w:t xml:space="preserve">Practices for moving toward equity include: </w:t>
      </w:r>
    </w:p>
    <w:p w14:paraId="218DC1E3" w14:textId="77777777" w:rsidR="00FA2C34" w:rsidRPr="003F2EC3" w:rsidRDefault="00FA2C34" w:rsidP="00FA2C34">
      <w:pPr>
        <w:pStyle w:val="ListParagraph"/>
        <w:rPr>
          <w:rFonts w:cs="Arial"/>
          <w:color w:val="000000" w:themeColor="text1"/>
          <w:szCs w:val="22"/>
        </w:rPr>
      </w:pPr>
    </w:p>
    <w:p w14:paraId="5653DFF4" w14:textId="77777777" w:rsidR="00FA2C34" w:rsidRDefault="00FA2C34" w:rsidP="00FA2C34">
      <w:pPr>
        <w:pStyle w:val="ListParagraph"/>
        <w:numPr>
          <w:ilvl w:val="0"/>
          <w:numId w:val="7"/>
        </w:numPr>
        <w:rPr>
          <w:rFonts w:cs="Arial"/>
          <w:color w:val="000000" w:themeColor="text1"/>
          <w:szCs w:val="22"/>
        </w:rPr>
      </w:pPr>
      <w:r w:rsidRPr="00705F2E">
        <w:rPr>
          <w:rFonts w:cs="Arial"/>
          <w:color w:val="000000" w:themeColor="text1"/>
          <w:szCs w:val="22"/>
        </w:rPr>
        <w:t>Developing a new and shared understanding of terminology, history, data, and personal stories, and a more accurate understanding of the origins and nature of existing inequities.</w:t>
      </w:r>
    </w:p>
    <w:p w14:paraId="6AC38036" w14:textId="77777777" w:rsidR="00FA2C34" w:rsidRPr="00705F2E" w:rsidRDefault="00FA2C34" w:rsidP="00FA2C34">
      <w:pPr>
        <w:pStyle w:val="ListParagraph"/>
        <w:numPr>
          <w:ilvl w:val="0"/>
          <w:numId w:val="7"/>
        </w:numPr>
        <w:rPr>
          <w:rFonts w:cs="Arial"/>
          <w:color w:val="000000" w:themeColor="text1"/>
          <w:szCs w:val="22"/>
        </w:rPr>
      </w:pPr>
      <w:r w:rsidRPr="00705F2E">
        <w:rPr>
          <w:rFonts w:cs="Arial"/>
          <w:color w:val="000000" w:themeColor="text1"/>
          <w:szCs w:val="22"/>
        </w:rPr>
        <w:t>Shifting of power within collaborations; avoiding top-down decision making.</w:t>
      </w:r>
    </w:p>
    <w:tbl>
      <w:tblPr>
        <w:tblpPr w:leftFromText="180" w:rightFromText="180" w:vertAnchor="text" w:horzAnchor="margin" w:tblpXSpec="right" w:tblpY="608"/>
        <w:tblW w:w="0" w:type="auto"/>
        <w:tblLook w:val="04A0" w:firstRow="1" w:lastRow="0" w:firstColumn="1" w:lastColumn="0" w:noHBand="0" w:noVBand="1"/>
      </w:tblPr>
      <w:tblGrid>
        <w:gridCol w:w="4176"/>
      </w:tblGrid>
      <w:tr w:rsidR="00FA2C34" w:rsidRPr="003F2EC3" w14:paraId="526DC9B1" w14:textId="77777777" w:rsidTr="00F4027A">
        <w:trPr>
          <w:trHeight w:val="1700"/>
        </w:trPr>
        <w:tc>
          <w:tcPr>
            <w:tcW w:w="4176" w:type="dxa"/>
            <w:tcBorders>
              <w:top w:val="single" w:sz="4" w:space="0" w:color="auto"/>
              <w:left w:val="single" w:sz="4" w:space="0" w:color="auto"/>
              <w:bottom w:val="single" w:sz="4" w:space="0" w:color="auto"/>
              <w:right w:val="single" w:sz="4" w:space="0" w:color="auto"/>
            </w:tcBorders>
            <w:shd w:val="clear" w:color="auto" w:fill="auto"/>
          </w:tcPr>
          <w:p w14:paraId="691A7906" w14:textId="77777777" w:rsidR="00FA2C34" w:rsidRPr="003F2EC3" w:rsidRDefault="00FA2C34" w:rsidP="002661CD">
            <w:pPr>
              <w:pStyle w:val="ListParagraph"/>
              <w:ind w:left="0"/>
              <w:rPr>
                <w:rFonts w:cs="Arial"/>
                <w:i/>
                <w:iCs/>
                <w:color w:val="000000" w:themeColor="text1"/>
                <w:sz w:val="20"/>
                <w:szCs w:val="20"/>
              </w:rPr>
            </w:pPr>
            <w:r w:rsidRPr="003F2EC3">
              <w:rPr>
                <w:rFonts w:cs="Arial"/>
                <w:i/>
                <w:iCs/>
                <w:color w:val="000000" w:themeColor="text1"/>
                <w:sz w:val="20"/>
                <w:szCs w:val="20"/>
              </w:rPr>
              <w:t>Many people are more comfortable talking about diversity and inclusion than about power, but without addressing power, efforts that highlight diversity only scratch the surface.</w:t>
            </w:r>
          </w:p>
          <w:p w14:paraId="37A1BA1D" w14:textId="77777777" w:rsidR="00FA2C34" w:rsidRPr="003F2EC3" w:rsidRDefault="00FA2C34" w:rsidP="002661CD">
            <w:pPr>
              <w:pStyle w:val="ListParagraph"/>
              <w:ind w:left="0"/>
              <w:rPr>
                <w:rFonts w:cs="Arial"/>
                <w:color w:val="000000" w:themeColor="text1"/>
                <w:szCs w:val="22"/>
              </w:rPr>
            </w:pPr>
            <w:r w:rsidRPr="003F2EC3">
              <w:rPr>
                <w:rFonts w:cs="Arial"/>
                <w:color w:val="000000" w:themeColor="text1"/>
                <w:sz w:val="20"/>
                <w:szCs w:val="20"/>
              </w:rPr>
              <w:t>—</w:t>
            </w:r>
            <w:r w:rsidRPr="003F2EC3">
              <w:rPr>
                <w:color w:val="000000" w:themeColor="text1"/>
                <w:sz w:val="20"/>
                <w:szCs w:val="20"/>
              </w:rPr>
              <w:t xml:space="preserve">John Kania, </w:t>
            </w:r>
            <w:proofErr w:type="spellStart"/>
            <w:r w:rsidRPr="003F2EC3">
              <w:rPr>
                <w:color w:val="000000" w:themeColor="text1"/>
                <w:sz w:val="20"/>
                <w:szCs w:val="20"/>
              </w:rPr>
              <w:t>Junious</w:t>
            </w:r>
            <w:proofErr w:type="spellEnd"/>
            <w:r w:rsidRPr="003F2EC3">
              <w:rPr>
                <w:color w:val="000000" w:themeColor="text1"/>
                <w:sz w:val="20"/>
                <w:szCs w:val="20"/>
              </w:rPr>
              <w:t xml:space="preserve"> Williams, Paul Schmitz, Sheri Brandy, Mark Kramer, and Jennifer </w:t>
            </w:r>
            <w:proofErr w:type="spellStart"/>
            <w:r w:rsidRPr="003F2EC3">
              <w:rPr>
                <w:color w:val="000000" w:themeColor="text1"/>
                <w:sz w:val="20"/>
                <w:szCs w:val="20"/>
              </w:rPr>
              <w:t>Splansky</w:t>
            </w:r>
            <w:proofErr w:type="spellEnd"/>
            <w:r w:rsidRPr="003F2EC3">
              <w:rPr>
                <w:color w:val="000000" w:themeColor="text1"/>
                <w:sz w:val="20"/>
                <w:szCs w:val="20"/>
              </w:rPr>
              <w:t xml:space="preserve"> </w:t>
            </w:r>
            <w:proofErr w:type="spellStart"/>
            <w:r w:rsidRPr="003F2EC3">
              <w:rPr>
                <w:color w:val="000000" w:themeColor="text1"/>
                <w:sz w:val="20"/>
                <w:szCs w:val="20"/>
              </w:rPr>
              <w:t>Juster</w:t>
            </w:r>
            <w:proofErr w:type="spellEnd"/>
            <w:r w:rsidRPr="003F2EC3">
              <w:rPr>
                <w:rStyle w:val="FootnoteReference"/>
                <w:rFonts w:cs="Arial"/>
                <w:color w:val="000000" w:themeColor="text1"/>
                <w:sz w:val="20"/>
                <w:szCs w:val="20"/>
              </w:rPr>
              <w:footnoteReference w:id="7"/>
            </w:r>
          </w:p>
        </w:tc>
      </w:tr>
    </w:tbl>
    <w:p w14:paraId="58DF7F5D" w14:textId="77777777" w:rsidR="00FA2C34" w:rsidRDefault="00FA2C34" w:rsidP="00FA2C34">
      <w:pPr>
        <w:pStyle w:val="ListParagraph"/>
        <w:numPr>
          <w:ilvl w:val="0"/>
          <w:numId w:val="7"/>
        </w:numPr>
        <w:rPr>
          <w:rFonts w:cs="Arial"/>
          <w:color w:val="000000" w:themeColor="text1"/>
          <w:szCs w:val="22"/>
        </w:rPr>
      </w:pPr>
      <w:r w:rsidRPr="00705F2E">
        <w:rPr>
          <w:rFonts w:cs="Arial"/>
          <w:color w:val="000000" w:themeColor="text1"/>
          <w:szCs w:val="22"/>
        </w:rPr>
        <w:t xml:space="preserve">Moving from working </w:t>
      </w:r>
      <w:r w:rsidRPr="00705F2E">
        <w:rPr>
          <w:rFonts w:cs="Arial"/>
          <w:i/>
          <w:iCs/>
          <w:color w:val="000000" w:themeColor="text1"/>
          <w:szCs w:val="22"/>
        </w:rPr>
        <w:t xml:space="preserve">in </w:t>
      </w:r>
      <w:r w:rsidRPr="00705F2E">
        <w:rPr>
          <w:rFonts w:cs="Arial"/>
          <w:color w:val="000000" w:themeColor="text1"/>
          <w:szCs w:val="22"/>
        </w:rPr>
        <w:t xml:space="preserve">communities to working </w:t>
      </w:r>
      <w:r w:rsidRPr="00705F2E">
        <w:rPr>
          <w:rFonts w:cs="Arial"/>
          <w:i/>
          <w:iCs/>
          <w:color w:val="000000" w:themeColor="text1"/>
          <w:szCs w:val="22"/>
        </w:rPr>
        <w:t>with</w:t>
      </w:r>
      <w:r w:rsidRPr="00705F2E">
        <w:rPr>
          <w:rFonts w:cs="Arial"/>
          <w:color w:val="000000" w:themeColor="text1"/>
          <w:szCs w:val="22"/>
        </w:rPr>
        <w:t xml:space="preserve"> communities. Listening to community requires trust and engagement, seeing communities and residents as assets rather than as problems to be solved. </w:t>
      </w:r>
    </w:p>
    <w:p w14:paraId="1125FA7D" w14:textId="77777777" w:rsidR="00FA2C34" w:rsidRDefault="00FA2C34" w:rsidP="00FA2C34">
      <w:pPr>
        <w:pStyle w:val="ListParagraph"/>
        <w:numPr>
          <w:ilvl w:val="0"/>
          <w:numId w:val="7"/>
        </w:numPr>
        <w:rPr>
          <w:rFonts w:cs="Arial"/>
          <w:color w:val="000000" w:themeColor="text1"/>
          <w:szCs w:val="22"/>
        </w:rPr>
      </w:pPr>
      <w:r w:rsidRPr="00705F2E">
        <w:rPr>
          <w:rFonts w:cs="Arial"/>
          <w:color w:val="000000" w:themeColor="text1"/>
          <w:szCs w:val="22"/>
        </w:rPr>
        <w:t>Holding people in power accountable for progress in their personal and organizational work on anti-racism. “Leaders must do personal, deep introspection to understand their own contribution to the status quo.”</w:t>
      </w:r>
      <w:r w:rsidRPr="003F2EC3">
        <w:rPr>
          <w:rStyle w:val="FootnoteReference"/>
          <w:rFonts w:cs="Arial"/>
          <w:color w:val="000000" w:themeColor="text1"/>
          <w:szCs w:val="22"/>
        </w:rPr>
        <w:footnoteReference w:id="8"/>
      </w:r>
      <w:r w:rsidRPr="00705F2E">
        <w:rPr>
          <w:rFonts w:cs="Arial"/>
          <w:color w:val="000000" w:themeColor="text1"/>
          <w:szCs w:val="22"/>
        </w:rPr>
        <w:t xml:space="preserve"> They must take a public stand, name their own or their organization’s past racism and acknowledge harms done. </w:t>
      </w:r>
    </w:p>
    <w:p w14:paraId="79074FDE" w14:textId="77777777" w:rsidR="00FA2C34" w:rsidRDefault="00FA2C34" w:rsidP="00FA2C34">
      <w:pPr>
        <w:pStyle w:val="ListParagraph"/>
        <w:numPr>
          <w:ilvl w:val="0"/>
          <w:numId w:val="7"/>
        </w:numPr>
        <w:rPr>
          <w:rFonts w:cs="Arial"/>
          <w:color w:val="000000" w:themeColor="text1"/>
          <w:szCs w:val="22"/>
        </w:rPr>
      </w:pPr>
      <w:r w:rsidRPr="00705F2E">
        <w:rPr>
          <w:rFonts w:cs="Arial"/>
          <w:color w:val="000000" w:themeColor="text1"/>
          <w:szCs w:val="22"/>
        </w:rPr>
        <w:t xml:space="preserve">Creating a safe space for vulnerability; sharing one’s own trauma and grief; modeling listening, compassion, and empathy. Enabling people to bring their full selves to the conversation and to work. </w:t>
      </w:r>
    </w:p>
    <w:p w14:paraId="288FFC46" w14:textId="77777777" w:rsidR="00FA2C34" w:rsidRDefault="00FA2C34" w:rsidP="00FA2C34">
      <w:pPr>
        <w:pStyle w:val="ListParagraph"/>
        <w:numPr>
          <w:ilvl w:val="0"/>
          <w:numId w:val="7"/>
        </w:numPr>
        <w:rPr>
          <w:rFonts w:cs="Arial"/>
          <w:color w:val="000000" w:themeColor="text1"/>
          <w:szCs w:val="22"/>
        </w:rPr>
      </w:pPr>
      <w:r w:rsidRPr="00705F2E">
        <w:rPr>
          <w:rFonts w:cs="Arial"/>
          <w:color w:val="000000" w:themeColor="text1"/>
          <w:szCs w:val="22"/>
        </w:rPr>
        <w:t>Apologizing to those who were harmed, acknowledging part and ongoing responsibility.</w:t>
      </w:r>
    </w:p>
    <w:p w14:paraId="36CDD063" w14:textId="77777777" w:rsidR="00FA2C34" w:rsidRPr="00705F2E" w:rsidRDefault="00FA2C34" w:rsidP="00FA2C34">
      <w:pPr>
        <w:pStyle w:val="ListParagraph"/>
        <w:numPr>
          <w:ilvl w:val="0"/>
          <w:numId w:val="7"/>
        </w:numPr>
        <w:rPr>
          <w:rFonts w:cs="Arial"/>
          <w:color w:val="000000" w:themeColor="text1"/>
          <w:szCs w:val="22"/>
        </w:rPr>
      </w:pPr>
      <w:r w:rsidRPr="00705F2E">
        <w:rPr>
          <w:rFonts w:cs="Arial"/>
          <w:color w:val="000000" w:themeColor="text1"/>
          <w:szCs w:val="22"/>
          <w:shd w:val="clear" w:color="auto" w:fill="FFFFFF"/>
        </w:rPr>
        <w:t xml:space="preserve">Recognizing and valuing that this work will take more than a generation to achieve transformational change. </w:t>
      </w:r>
    </w:p>
    <w:p w14:paraId="10C04055" w14:textId="77777777" w:rsidR="00FA2C34" w:rsidRPr="00B12865" w:rsidRDefault="00FA2C34" w:rsidP="00FA2C34">
      <w:pPr>
        <w:pStyle w:val="ListParagraph"/>
        <w:numPr>
          <w:ilvl w:val="0"/>
          <w:numId w:val="7"/>
        </w:numPr>
        <w:rPr>
          <w:rFonts w:cs="Arial"/>
          <w:color w:val="000000" w:themeColor="text1"/>
          <w:szCs w:val="22"/>
        </w:rPr>
      </w:pPr>
      <w:r w:rsidRPr="00705F2E">
        <w:rPr>
          <w:rFonts w:cs="Arial"/>
          <w:color w:val="000000" w:themeColor="text1"/>
          <w:szCs w:val="22"/>
          <w:shd w:val="clear" w:color="auto" w:fill="FFFFFF"/>
        </w:rPr>
        <w:t>Nurturing the wisdom and creativity within every community as essential to solving the nation’s problems.</w:t>
      </w:r>
      <w:r w:rsidRPr="003F2EC3">
        <w:rPr>
          <w:rStyle w:val="FootnoteReference"/>
          <w:rFonts w:cs="Arial"/>
          <w:color w:val="000000" w:themeColor="text1"/>
          <w:szCs w:val="22"/>
          <w:shd w:val="clear" w:color="auto" w:fill="FFFFFF"/>
        </w:rPr>
        <w:footnoteReference w:id="9"/>
      </w:r>
    </w:p>
    <w:p w14:paraId="6CA2D241" w14:textId="47D0F96D" w:rsidR="00CB02FF" w:rsidRDefault="00CB02FF" w:rsidP="00FA2C34">
      <w:pPr>
        <w:rPr>
          <w:b/>
          <w:bCs/>
        </w:rPr>
      </w:pPr>
    </w:p>
    <w:p w14:paraId="3D353BDE" w14:textId="77777777" w:rsidR="00B260C0" w:rsidRPr="00F4027A" w:rsidRDefault="00B260C0" w:rsidP="0079620A">
      <w:pPr>
        <w:rPr>
          <w:b/>
          <w:bCs/>
        </w:rPr>
      </w:pPr>
      <w:bookmarkStart w:id="0" w:name="_Toc96513162"/>
      <w:r w:rsidRPr="00F4027A">
        <w:rPr>
          <w:b/>
          <w:bCs/>
        </w:rPr>
        <w:t>Defining Key Terms</w:t>
      </w:r>
      <w:bookmarkEnd w:id="0"/>
    </w:p>
    <w:p w14:paraId="3E467F2D" w14:textId="77777777" w:rsidR="00B260C0" w:rsidRDefault="00B260C0" w:rsidP="00B260C0">
      <w:pPr>
        <w:rPr>
          <w:rFonts w:ascii="Georgia" w:hAnsi="Georgia" w:cs="Arial"/>
          <w:szCs w:val="22"/>
        </w:rPr>
      </w:pPr>
    </w:p>
    <w:p w14:paraId="3189BEC9" w14:textId="77777777" w:rsidR="00B260C0" w:rsidRPr="00CC0DF7" w:rsidRDefault="00B260C0" w:rsidP="00B260C0">
      <w:pPr>
        <w:rPr>
          <w:rFonts w:cs="Arial"/>
          <w:szCs w:val="22"/>
        </w:rPr>
      </w:pPr>
      <w:r w:rsidRPr="00CC0DF7">
        <w:rPr>
          <w:rFonts w:cs="Arial"/>
          <w:szCs w:val="22"/>
        </w:rPr>
        <w:t xml:space="preserve">The Foundation’s initial framing of the project—to develop a network to address structural racism and </w:t>
      </w:r>
      <w:r>
        <w:rPr>
          <w:rFonts w:cs="Arial"/>
          <w:szCs w:val="22"/>
        </w:rPr>
        <w:t xml:space="preserve">economic equity </w:t>
      </w:r>
      <w:r w:rsidRPr="00CC0DF7">
        <w:rPr>
          <w:rFonts w:cs="Arial"/>
          <w:szCs w:val="22"/>
        </w:rPr>
        <w:t xml:space="preserve">in rural BIPOC communities—was extremely broad. It left us with definitional issues and a need to establish narrower boundaries—a more precise “container”—that would be workable for network design and not obscure on-the-ground realities. </w:t>
      </w:r>
      <w:r w:rsidRPr="00CC0DF7">
        <w:rPr>
          <w:rFonts w:cs="Arial"/>
          <w:color w:val="000000" w:themeColor="text1"/>
          <w:szCs w:val="22"/>
        </w:rPr>
        <w:t xml:space="preserve">Conceptual, “satellite-level” formulations—e.g., visions and aspirational goals, including those in the </w:t>
      </w:r>
      <w:r w:rsidRPr="00CC0DF7">
        <w:rPr>
          <w:rFonts w:cs="Arial"/>
          <w:i/>
          <w:iCs/>
          <w:color w:val="000000" w:themeColor="text1"/>
          <w:szCs w:val="22"/>
        </w:rPr>
        <w:t xml:space="preserve">Thrive Rural </w:t>
      </w:r>
      <w:r w:rsidRPr="00CC0DF7">
        <w:rPr>
          <w:rFonts w:cs="Arial"/>
          <w:color w:val="000000" w:themeColor="text1"/>
          <w:szCs w:val="22"/>
        </w:rPr>
        <w:t xml:space="preserve">framework, which was under development during our project—can help build shared general understandings across contexts. But they may also obscure critical contextual differences and on-the-ground realities that shape how change-work can advance. </w:t>
      </w:r>
    </w:p>
    <w:p w14:paraId="0C68EBE8" w14:textId="77777777" w:rsidR="00B260C0" w:rsidRPr="00CC0DF7" w:rsidRDefault="00B260C0" w:rsidP="00B260C0">
      <w:pPr>
        <w:rPr>
          <w:rFonts w:cs="Arial"/>
          <w:b/>
          <w:szCs w:val="22"/>
          <w:u w:val="single"/>
        </w:rPr>
      </w:pPr>
    </w:p>
    <w:p w14:paraId="302ED050" w14:textId="77777777" w:rsidR="00B260C0" w:rsidRPr="00CC0DF7" w:rsidRDefault="00B260C0" w:rsidP="00B260C0">
      <w:pPr>
        <w:rPr>
          <w:rFonts w:cs="Arial"/>
          <w:bCs/>
          <w:szCs w:val="22"/>
        </w:rPr>
      </w:pPr>
      <w:r w:rsidRPr="00CC0DF7">
        <w:rPr>
          <w:rFonts w:cs="Arial"/>
          <w:bCs/>
          <w:szCs w:val="22"/>
        </w:rPr>
        <w:t xml:space="preserve">As we worked through the definitions of key terms, we found ourselves developing nuances that helped to shape the container more precisely and aligned better with our guiding principles. </w:t>
      </w:r>
    </w:p>
    <w:p w14:paraId="0EFA6D46" w14:textId="77777777" w:rsidR="00B260C0" w:rsidRPr="00CC0DF7" w:rsidRDefault="00B260C0" w:rsidP="00B260C0">
      <w:pPr>
        <w:rPr>
          <w:rFonts w:cs="Arial"/>
          <w:bCs/>
          <w:szCs w:val="22"/>
        </w:rPr>
      </w:pPr>
    </w:p>
    <w:p w14:paraId="383ED299" w14:textId="77777777" w:rsidR="00B260C0" w:rsidRPr="00CC0DF7" w:rsidRDefault="00B260C0" w:rsidP="00B260C0">
      <w:pPr>
        <w:pStyle w:val="ListParagraph"/>
        <w:numPr>
          <w:ilvl w:val="0"/>
          <w:numId w:val="7"/>
        </w:numPr>
        <w:rPr>
          <w:rFonts w:cs="Arial"/>
          <w:bCs/>
          <w:szCs w:val="22"/>
        </w:rPr>
      </w:pPr>
      <w:r w:rsidRPr="00CC0DF7">
        <w:rPr>
          <w:rFonts w:cs="Arial"/>
          <w:b/>
          <w:i/>
          <w:iCs/>
          <w:szCs w:val="22"/>
        </w:rPr>
        <w:t xml:space="preserve">Structural racism and white supremacy. </w:t>
      </w:r>
      <w:r w:rsidRPr="00CC0DF7">
        <w:rPr>
          <w:rFonts w:cs="Arial"/>
          <w:bCs/>
          <w:szCs w:val="22"/>
        </w:rPr>
        <w:t>It is essential that frontline/grassroots communities shape efforts to address structural racism/white supremacy.</w:t>
      </w:r>
      <w:r w:rsidRPr="00CC0DF7">
        <w:rPr>
          <w:rFonts w:cs="Arial"/>
          <w:bCs/>
          <w:i/>
          <w:iCs/>
          <w:szCs w:val="22"/>
        </w:rPr>
        <w:t xml:space="preserve"> </w:t>
      </w:r>
      <w:r w:rsidRPr="00CC0DF7">
        <w:rPr>
          <w:rFonts w:cs="Arial"/>
          <w:bCs/>
          <w:szCs w:val="22"/>
        </w:rPr>
        <w:t xml:space="preserve">Only networking the players in structural positions in government, business, and academia could result in efforts that end up enacting “dysfunctional rescue,” when local communities have not been empowered to guide the design and implementation of anti-racism interventions. It may also overlook leverage points for change—such as civic, frontline action in communities and private and nonprofit entrepreneurial efforts for wealth creation. </w:t>
      </w:r>
    </w:p>
    <w:p w14:paraId="5D220BF3" w14:textId="77777777" w:rsidR="00B260C0" w:rsidRPr="00CC0DF7" w:rsidRDefault="00B260C0" w:rsidP="00B260C0">
      <w:pPr>
        <w:pStyle w:val="ListParagraph"/>
        <w:ind w:left="1080"/>
        <w:rPr>
          <w:rFonts w:cs="Arial"/>
          <w:bCs/>
          <w:szCs w:val="22"/>
          <w:u w:val="single"/>
        </w:rPr>
      </w:pPr>
    </w:p>
    <w:p w14:paraId="7E315758" w14:textId="7A518431" w:rsidR="00B260C0" w:rsidRPr="00181A6C" w:rsidRDefault="00B260C0" w:rsidP="00B260C0">
      <w:pPr>
        <w:pStyle w:val="ListParagraph"/>
        <w:numPr>
          <w:ilvl w:val="0"/>
          <w:numId w:val="8"/>
        </w:numPr>
        <w:rPr>
          <w:rFonts w:cs="Arial"/>
          <w:bCs/>
          <w:szCs w:val="22"/>
          <w:u w:val="single"/>
        </w:rPr>
      </w:pPr>
      <w:r w:rsidRPr="00CC0DF7">
        <w:rPr>
          <w:rFonts w:cs="Arial"/>
          <w:b/>
          <w:i/>
          <w:iCs/>
          <w:szCs w:val="22"/>
        </w:rPr>
        <w:t xml:space="preserve">BIPOC. </w:t>
      </w:r>
      <w:r w:rsidRPr="00CC0DF7">
        <w:rPr>
          <w:rFonts w:cs="Arial"/>
          <w:bCs/>
          <w:szCs w:val="22"/>
        </w:rPr>
        <w:t>Although BIPOC can be a convenient shorthand for describing people of color, it obscures a great deal that’s important when dealing with racism.</w:t>
      </w:r>
      <w:r w:rsidRPr="00CC0DF7">
        <w:rPr>
          <w:szCs w:val="22"/>
        </w:rPr>
        <w:t xml:space="preserve"> For instance, many Hispanic/Latinx people do not self-identify as “people of color.” The same may be true of mixed-race people. Many i</w:t>
      </w:r>
      <w:r w:rsidR="00246089">
        <w:rPr>
          <w:szCs w:val="22"/>
        </w:rPr>
        <w:t>m</w:t>
      </w:r>
      <w:r w:rsidRPr="00CC0DF7">
        <w:rPr>
          <w:szCs w:val="22"/>
        </w:rPr>
        <w:t xml:space="preserve">migrants—the primary source of population growth in rural areas—don’t see themselves in the American race framework; instead, their identities are rooted in the nation and culture from which they came. This is also true of immigrants from </w:t>
      </w:r>
      <w:r w:rsidRPr="00181A6C">
        <w:rPr>
          <w:szCs w:val="22"/>
        </w:rPr>
        <w:t xml:space="preserve">Africa, Asia, and the Middle East. For many people of color, race or ethnicity is just one dimension of social identity. Navajos, for example, are also citizens of the Navajo Nation. </w:t>
      </w:r>
    </w:p>
    <w:p w14:paraId="45F0C4A7" w14:textId="77777777" w:rsidR="00B260C0" w:rsidRPr="00181A6C" w:rsidRDefault="00B260C0" w:rsidP="00B260C0">
      <w:pPr>
        <w:pStyle w:val="ListParagraph"/>
        <w:rPr>
          <w:rFonts w:cs="Arial"/>
          <w:b/>
          <w:i/>
          <w:iCs/>
          <w:szCs w:val="22"/>
        </w:rPr>
      </w:pPr>
    </w:p>
    <w:p w14:paraId="40B513E8" w14:textId="4E56CC94" w:rsidR="00B260C0" w:rsidRPr="00181A6C" w:rsidRDefault="00B260C0" w:rsidP="00B260C0">
      <w:pPr>
        <w:ind w:left="720"/>
        <w:rPr>
          <w:rFonts w:cs="Arial"/>
          <w:bCs/>
          <w:szCs w:val="22"/>
          <w:u w:val="single"/>
        </w:rPr>
      </w:pPr>
      <w:r w:rsidRPr="00181A6C">
        <w:rPr>
          <w:szCs w:val="22"/>
        </w:rPr>
        <w:t xml:space="preserve">In addition, the BIPOC framing leaves out rural </w:t>
      </w:r>
      <w:r w:rsidR="00246089">
        <w:rPr>
          <w:szCs w:val="22"/>
        </w:rPr>
        <w:t>w</w:t>
      </w:r>
      <w:r w:rsidRPr="00181A6C">
        <w:rPr>
          <w:szCs w:val="22"/>
        </w:rPr>
        <w:t xml:space="preserve">hite </w:t>
      </w:r>
      <w:r w:rsidRPr="00181A6C">
        <w:rPr>
          <w:color w:val="000000" w:themeColor="text1"/>
          <w:szCs w:val="22"/>
        </w:rPr>
        <w:t>people who themselves are negatively impacted by racism. T</w:t>
      </w:r>
      <w:r w:rsidRPr="00181A6C">
        <w:rPr>
          <w:szCs w:val="22"/>
        </w:rPr>
        <w:t xml:space="preserve">he growing number of </w:t>
      </w:r>
      <w:r w:rsidR="00246089">
        <w:rPr>
          <w:szCs w:val="22"/>
        </w:rPr>
        <w:t>in-</w:t>
      </w:r>
      <w:r w:rsidRPr="00181A6C">
        <w:rPr>
          <w:szCs w:val="22"/>
        </w:rPr>
        <w:t>migrants who are moving to rural areas as a result of the COVID-19 pandemic is bringing new tensions regarding land assets, political perspectives, economic privilege, and a need for newcomers to learn about the history, (past and living) culture, and cultural practices of small, rural places. Power and race are critical dynamics in these situations.</w:t>
      </w:r>
    </w:p>
    <w:p w14:paraId="7DC991EE" w14:textId="77777777" w:rsidR="00B260C0" w:rsidRPr="00181A6C" w:rsidRDefault="00B260C0" w:rsidP="00B260C0">
      <w:pPr>
        <w:rPr>
          <w:color w:val="000000" w:themeColor="text1"/>
          <w:szCs w:val="22"/>
        </w:rPr>
      </w:pPr>
    </w:p>
    <w:p w14:paraId="38F051D2" w14:textId="77777777" w:rsidR="00B260C0" w:rsidRPr="00CC0DF7" w:rsidRDefault="00B260C0" w:rsidP="00B260C0">
      <w:pPr>
        <w:pStyle w:val="ListParagraph"/>
        <w:rPr>
          <w:rFonts w:cs="Arial"/>
          <w:bCs/>
          <w:szCs w:val="22"/>
          <w:u w:val="single"/>
        </w:rPr>
      </w:pPr>
      <w:r w:rsidRPr="00181A6C">
        <w:rPr>
          <w:color w:val="000000" w:themeColor="text1"/>
          <w:szCs w:val="22"/>
        </w:rPr>
        <w:t xml:space="preserve">Finally, lumping people of </w:t>
      </w:r>
      <w:r w:rsidRPr="00181A6C">
        <w:rPr>
          <w:szCs w:val="22"/>
        </w:rPr>
        <w:t>color together in one general category overlooks basic differences in some of the conditions of different races. Many Native people, for example, are part of sovereign nations with their own governments, laws, land, and infrastructure; they have a degree of</w:t>
      </w:r>
      <w:r w:rsidRPr="00CC0DF7">
        <w:rPr>
          <w:szCs w:val="22"/>
        </w:rPr>
        <w:t xml:space="preserve"> control that is not the case for other people of color. Hispanics have a different unique situation: millions are undocumented, which leaves them endlessly vulnerable to economic and other exploitation.  </w:t>
      </w:r>
    </w:p>
    <w:p w14:paraId="767FB097" w14:textId="77777777" w:rsidR="00B260C0" w:rsidRPr="00CC0DF7" w:rsidRDefault="00B260C0" w:rsidP="00B260C0">
      <w:pPr>
        <w:ind w:left="720"/>
        <w:rPr>
          <w:rFonts w:cs="Arial"/>
          <w:bCs/>
          <w:szCs w:val="22"/>
        </w:rPr>
      </w:pPr>
    </w:p>
    <w:p w14:paraId="36FDAF27" w14:textId="7B5AC898" w:rsidR="00B260C0" w:rsidRPr="00F4027A" w:rsidRDefault="00B260C0" w:rsidP="00FA2C34">
      <w:pPr>
        <w:pStyle w:val="ListParagraph"/>
        <w:numPr>
          <w:ilvl w:val="0"/>
          <w:numId w:val="8"/>
        </w:numPr>
        <w:rPr>
          <w:rFonts w:cs="Arial"/>
          <w:b/>
          <w:szCs w:val="22"/>
          <w:u w:val="single"/>
        </w:rPr>
      </w:pPr>
      <w:r w:rsidRPr="00CC0DF7">
        <w:rPr>
          <w:rFonts w:cs="Arial"/>
          <w:b/>
          <w:i/>
          <w:iCs/>
          <w:szCs w:val="22"/>
        </w:rPr>
        <w:t xml:space="preserve">Poverty. </w:t>
      </w:r>
      <w:r w:rsidRPr="00CC0DF7">
        <w:rPr>
          <w:rFonts w:cs="Arial"/>
          <w:bCs/>
          <w:szCs w:val="22"/>
        </w:rPr>
        <w:t xml:space="preserve">Focusing on poverty as an economic condition, i.e., using the federal poverty line data, leaves out the intersectionality of conditions that diminish economic mobility and asset building of people of color with low incomes. And the economics-only approach tends to channel thinking into a deficit framework, which ignores the presence of capacity, energy, action, hope, and courage. At the same time, there are big challenges in finding and using other data. The Urban Institute’s 2021 </w:t>
      </w:r>
      <w:hyperlink r:id="rId7" w:history="1">
        <w:r w:rsidRPr="00CC0DF7">
          <w:rPr>
            <w:rStyle w:val="Hyperlink"/>
            <w:rFonts w:cs="Arial"/>
            <w:bCs/>
            <w:szCs w:val="22"/>
          </w:rPr>
          <w:t>“</w:t>
        </w:r>
        <w:proofErr w:type="spellStart"/>
        <w:r w:rsidRPr="00CC0DF7">
          <w:rPr>
            <w:rStyle w:val="Hyperlink"/>
            <w:rFonts w:cs="Arial"/>
            <w:bCs/>
            <w:szCs w:val="22"/>
          </w:rPr>
          <w:t>Reenvisioning</w:t>
        </w:r>
        <w:proofErr w:type="spellEnd"/>
        <w:r w:rsidRPr="00CC0DF7">
          <w:rPr>
            <w:rStyle w:val="Hyperlink"/>
            <w:rFonts w:cs="Arial"/>
            <w:bCs/>
            <w:szCs w:val="22"/>
          </w:rPr>
          <w:t xml:space="preserve"> Rural America”</w:t>
        </w:r>
      </w:hyperlink>
      <w:r w:rsidRPr="00CC0DF7">
        <w:rPr>
          <w:rFonts w:cs="Arial"/>
          <w:bCs/>
          <w:szCs w:val="22"/>
        </w:rPr>
        <w:t xml:space="preserve"> report uses 50 measures of assets to categorize rural places into seven types—but within the rural development field there is dissatisfaction with this assemblage of data, and the report authors acknowledge that the data does not reveal on-the-ground nuances that would be captured in localized case studies.  </w:t>
      </w:r>
    </w:p>
    <w:p w14:paraId="26350158" w14:textId="77777777" w:rsidR="00F4027A" w:rsidRDefault="00F4027A" w:rsidP="00F4027A">
      <w:pPr>
        <w:rPr>
          <w:b/>
          <w:bCs/>
        </w:rPr>
      </w:pPr>
      <w:bookmarkStart w:id="1" w:name="_Toc96513163"/>
    </w:p>
    <w:p w14:paraId="6D96D257" w14:textId="12E9963B" w:rsidR="00B260C0" w:rsidRPr="00F4027A" w:rsidRDefault="00B260C0" w:rsidP="00F4027A">
      <w:pPr>
        <w:rPr>
          <w:b/>
          <w:bCs/>
        </w:rPr>
      </w:pPr>
      <w:r w:rsidRPr="00F4027A">
        <w:rPr>
          <w:b/>
          <w:bCs/>
        </w:rPr>
        <w:t>Presence in Rural Areas of Organizations Led by People of Color</w:t>
      </w:r>
      <w:bookmarkEnd w:id="1"/>
    </w:p>
    <w:p w14:paraId="4E10475F" w14:textId="77777777" w:rsidR="00B260C0" w:rsidRDefault="00B260C0" w:rsidP="00B260C0">
      <w:pPr>
        <w:rPr>
          <w:szCs w:val="22"/>
        </w:rPr>
      </w:pPr>
    </w:p>
    <w:p w14:paraId="618EDEF4" w14:textId="77777777" w:rsidR="00B260C0" w:rsidRPr="00A93D63" w:rsidRDefault="00B260C0" w:rsidP="00B260C0">
      <w:pPr>
        <w:rPr>
          <w:rFonts w:cs="Arial"/>
          <w:szCs w:val="22"/>
        </w:rPr>
      </w:pPr>
      <w:r w:rsidRPr="00A93D63">
        <w:rPr>
          <w:rFonts w:cs="Arial"/>
          <w:szCs w:val="22"/>
        </w:rPr>
        <w:t xml:space="preserve">The team conducted a desktop scan of 120 organizations—mostly community-based organizations and nonprofit intermediaries—for their rural presence, commitment to centering racial equity, programs and activities. </w:t>
      </w:r>
      <w:r>
        <w:rPr>
          <w:rFonts w:cs="Arial"/>
          <w:szCs w:val="22"/>
        </w:rPr>
        <w:t xml:space="preserve">It appears that </w:t>
      </w:r>
      <w:r w:rsidRPr="00A93D63">
        <w:rPr>
          <w:rFonts w:cs="Arial"/>
          <w:szCs w:val="22"/>
        </w:rPr>
        <w:t xml:space="preserve">60 of the organizations are led by people of color. We drew organizations from multiple reports: </w:t>
      </w:r>
      <w:proofErr w:type="spellStart"/>
      <w:r w:rsidRPr="00A93D63">
        <w:rPr>
          <w:rFonts w:cs="Arial"/>
          <w:szCs w:val="22"/>
        </w:rPr>
        <w:t>RuraLead</w:t>
      </w:r>
      <w:proofErr w:type="spellEnd"/>
      <w:r w:rsidRPr="00A93D63">
        <w:rPr>
          <w:rFonts w:cs="Arial"/>
          <w:szCs w:val="22"/>
        </w:rPr>
        <w:t xml:space="preserve">, Rural Development Hubs, Justice40 Accelerator, </w:t>
      </w:r>
      <w:r>
        <w:rPr>
          <w:rFonts w:cs="Arial"/>
          <w:i/>
          <w:iCs/>
          <w:szCs w:val="22"/>
        </w:rPr>
        <w:t xml:space="preserve">Thrive </w:t>
      </w:r>
      <w:proofErr w:type="gramStart"/>
      <w:r>
        <w:rPr>
          <w:rFonts w:cs="Arial"/>
          <w:i/>
          <w:iCs/>
          <w:szCs w:val="22"/>
        </w:rPr>
        <w:t>Rural!</w:t>
      </w:r>
      <w:r>
        <w:rPr>
          <w:rFonts w:cs="Arial"/>
          <w:szCs w:val="22"/>
        </w:rPr>
        <w:t>,</w:t>
      </w:r>
      <w:proofErr w:type="gramEnd"/>
      <w:r>
        <w:rPr>
          <w:rFonts w:cs="Arial"/>
          <w:szCs w:val="22"/>
        </w:rPr>
        <w:t xml:space="preserve"> </w:t>
      </w:r>
      <w:r w:rsidRPr="00A93D63">
        <w:rPr>
          <w:rFonts w:cs="Arial"/>
          <w:szCs w:val="22"/>
        </w:rPr>
        <w:t xml:space="preserve">and several other sources.  </w:t>
      </w:r>
    </w:p>
    <w:p w14:paraId="410C0F81" w14:textId="77777777" w:rsidR="00B260C0" w:rsidRPr="00A93D63" w:rsidRDefault="00B260C0" w:rsidP="00B260C0">
      <w:pPr>
        <w:rPr>
          <w:rFonts w:cs="Arial"/>
          <w:szCs w:val="22"/>
        </w:rPr>
      </w:pPr>
    </w:p>
    <w:p w14:paraId="69A9EBDE" w14:textId="72F323FA" w:rsidR="00B260C0" w:rsidRDefault="00B260C0" w:rsidP="00B260C0">
      <w:pPr>
        <w:rPr>
          <w:szCs w:val="22"/>
        </w:rPr>
      </w:pPr>
      <w:r w:rsidRPr="00A93D63">
        <w:rPr>
          <w:szCs w:val="22"/>
        </w:rPr>
        <w:lastRenderedPageBreak/>
        <w:t xml:space="preserve">Our interviews with rural leaders and </w:t>
      </w:r>
      <w:r>
        <w:rPr>
          <w:szCs w:val="22"/>
        </w:rPr>
        <w:t xml:space="preserve">our </w:t>
      </w:r>
      <w:r w:rsidRPr="00A93D63">
        <w:rPr>
          <w:szCs w:val="22"/>
        </w:rPr>
        <w:t xml:space="preserve">desktop scan revealed important conditions that have to be taken into account when </w:t>
      </w:r>
      <w:r>
        <w:rPr>
          <w:szCs w:val="22"/>
        </w:rPr>
        <w:t>engaging organizations to form</w:t>
      </w:r>
      <w:r w:rsidRPr="00A93D63">
        <w:rPr>
          <w:szCs w:val="22"/>
        </w:rPr>
        <w:t xml:space="preserve"> a rural network. </w:t>
      </w:r>
    </w:p>
    <w:p w14:paraId="74B82255" w14:textId="77777777" w:rsidR="00246089" w:rsidRPr="00A93D63" w:rsidRDefault="00246089" w:rsidP="00B260C0">
      <w:pPr>
        <w:rPr>
          <w:szCs w:val="22"/>
        </w:rPr>
      </w:pPr>
    </w:p>
    <w:tbl>
      <w:tblPr>
        <w:tblStyle w:val="TableGrid"/>
        <w:tblpPr w:leftFromText="180" w:rightFromText="180" w:vertAnchor="text" w:horzAnchor="margin" w:tblpXSpec="right" w:tblpY="617"/>
        <w:tblW w:w="0" w:type="auto"/>
        <w:tblLook w:val="04A0" w:firstRow="1" w:lastRow="0" w:firstColumn="1" w:lastColumn="0" w:noHBand="0" w:noVBand="1"/>
      </w:tblPr>
      <w:tblGrid>
        <w:gridCol w:w="3595"/>
      </w:tblGrid>
      <w:tr w:rsidR="00B260C0" w:rsidRPr="00A93D63" w14:paraId="330A2518" w14:textId="77777777" w:rsidTr="00F4027A">
        <w:tc>
          <w:tcPr>
            <w:tcW w:w="3595" w:type="dxa"/>
            <w:shd w:val="clear" w:color="auto" w:fill="auto"/>
          </w:tcPr>
          <w:p w14:paraId="36CA935E" w14:textId="77777777" w:rsidR="00B260C0" w:rsidRPr="00A93D63" w:rsidRDefault="00B260C0" w:rsidP="002661CD">
            <w:pPr>
              <w:rPr>
                <w:rFonts w:ascii="Athelas" w:hAnsi="Athelas"/>
                <w:i/>
                <w:iCs/>
                <w:sz w:val="20"/>
                <w:szCs w:val="20"/>
              </w:rPr>
            </w:pPr>
            <w:r w:rsidRPr="00A93D63">
              <w:rPr>
                <w:rFonts w:ascii="Athelas" w:hAnsi="Athelas"/>
                <w:i/>
                <w:iCs/>
                <w:sz w:val="20"/>
                <w:szCs w:val="20"/>
              </w:rPr>
              <w:t>There is no single rural America. Its communities have diverse industries, cultures, and people.</w:t>
            </w:r>
          </w:p>
          <w:p w14:paraId="14845052" w14:textId="77777777" w:rsidR="00B260C0" w:rsidRPr="00A93D63" w:rsidRDefault="00B260C0" w:rsidP="002661CD">
            <w:pPr>
              <w:rPr>
                <w:rFonts w:ascii="Athelas" w:hAnsi="Athelas"/>
                <w:sz w:val="22"/>
                <w:szCs w:val="22"/>
              </w:rPr>
            </w:pPr>
            <w:r w:rsidRPr="00A93D63">
              <w:rPr>
                <w:rFonts w:ascii="Athelas" w:hAnsi="Athelas"/>
                <w:sz w:val="20"/>
                <w:szCs w:val="20"/>
              </w:rPr>
              <w:t>--Urban Institute, “</w:t>
            </w:r>
            <w:proofErr w:type="spellStart"/>
            <w:r w:rsidRPr="00A93D63">
              <w:rPr>
                <w:rFonts w:ascii="Athelas" w:hAnsi="Athelas"/>
                <w:sz w:val="20"/>
                <w:szCs w:val="20"/>
              </w:rPr>
              <w:t>Reenvisioning</w:t>
            </w:r>
            <w:proofErr w:type="spellEnd"/>
            <w:r w:rsidRPr="00A93D63">
              <w:rPr>
                <w:rFonts w:ascii="Athelas" w:hAnsi="Athelas"/>
                <w:sz w:val="20"/>
                <w:szCs w:val="20"/>
              </w:rPr>
              <w:t xml:space="preserve"> Rural America”</w:t>
            </w:r>
          </w:p>
        </w:tc>
      </w:tr>
    </w:tbl>
    <w:p w14:paraId="273DD240" w14:textId="04378645" w:rsidR="00B260C0" w:rsidRPr="00A93D63" w:rsidRDefault="00B260C0" w:rsidP="00B260C0">
      <w:pPr>
        <w:pStyle w:val="ListParagraph"/>
        <w:numPr>
          <w:ilvl w:val="0"/>
          <w:numId w:val="7"/>
        </w:numPr>
        <w:rPr>
          <w:color w:val="FF0000"/>
          <w:szCs w:val="22"/>
        </w:rPr>
      </w:pPr>
      <w:r w:rsidRPr="00A93D63">
        <w:rPr>
          <w:b/>
          <w:bCs/>
          <w:i/>
          <w:iCs/>
          <w:szCs w:val="22"/>
        </w:rPr>
        <w:t xml:space="preserve"> Rural fragmentation. </w:t>
      </w:r>
      <w:r w:rsidRPr="00A93D63">
        <w:rPr>
          <w:szCs w:val="22"/>
        </w:rPr>
        <w:t>Rural is not monolithic; it is a patchwork of remarkably different contexts, even when considering rural places with non-</w:t>
      </w:r>
      <w:r w:rsidR="00246089">
        <w:rPr>
          <w:szCs w:val="22"/>
        </w:rPr>
        <w:t>w</w:t>
      </w:r>
      <w:r w:rsidRPr="00A93D63">
        <w:rPr>
          <w:szCs w:val="22"/>
        </w:rPr>
        <w:t xml:space="preserve">hite populations and persistent economic poverty. Similar fragmentation occurs among rural organizations, even the 134 identified in our scan, when it comes to their missions and activities. </w:t>
      </w:r>
    </w:p>
    <w:p w14:paraId="09B7B480" w14:textId="77777777" w:rsidR="00B260C0" w:rsidRPr="00A93D63" w:rsidRDefault="00B260C0" w:rsidP="00B260C0">
      <w:pPr>
        <w:pStyle w:val="ListParagraph"/>
        <w:ind w:left="1080"/>
        <w:rPr>
          <w:szCs w:val="22"/>
        </w:rPr>
      </w:pPr>
    </w:p>
    <w:p w14:paraId="67943E68" w14:textId="77777777" w:rsidR="00B260C0" w:rsidRPr="00A93D63" w:rsidRDefault="00B260C0" w:rsidP="00B260C0">
      <w:pPr>
        <w:pStyle w:val="ListParagraph"/>
        <w:numPr>
          <w:ilvl w:val="0"/>
          <w:numId w:val="7"/>
        </w:numPr>
        <w:rPr>
          <w:szCs w:val="22"/>
        </w:rPr>
      </w:pPr>
      <w:r w:rsidRPr="00A93D63">
        <w:rPr>
          <w:b/>
          <w:bCs/>
          <w:i/>
          <w:iCs/>
          <w:szCs w:val="22"/>
        </w:rPr>
        <w:t xml:space="preserve">Rural leaders and organizations are stretched thin. </w:t>
      </w:r>
      <w:r w:rsidRPr="00A93D63">
        <w:rPr>
          <w:szCs w:val="22"/>
        </w:rPr>
        <w:t>Leaders of rural anti-racism/poverty entities are extremely busy, carry exhausting emotional burdens, are pulled in many directions, and are under-resourced with little capacity to take on new work that doesn’t strongly support existing strategies. While they might acknowledge the potential value of connecting with new people, they also weigh the costs of the opportunity (in their time and energy) against the other work they need to do for their organizations/businesses.</w:t>
      </w:r>
    </w:p>
    <w:p w14:paraId="3D2B068E" w14:textId="77777777" w:rsidR="00B260C0" w:rsidRPr="00A93D63" w:rsidRDefault="00B260C0" w:rsidP="00B260C0">
      <w:pPr>
        <w:pStyle w:val="ListParagraph"/>
        <w:rPr>
          <w:b/>
          <w:bCs/>
          <w:i/>
          <w:iCs/>
          <w:szCs w:val="22"/>
        </w:rPr>
      </w:pPr>
    </w:p>
    <w:p w14:paraId="36A74935" w14:textId="77777777" w:rsidR="00B260C0" w:rsidRPr="00A93D63" w:rsidRDefault="00B260C0" w:rsidP="00B260C0">
      <w:pPr>
        <w:pStyle w:val="ListParagraph"/>
        <w:numPr>
          <w:ilvl w:val="0"/>
          <w:numId w:val="7"/>
        </w:numPr>
        <w:rPr>
          <w:szCs w:val="22"/>
        </w:rPr>
      </w:pPr>
      <w:r w:rsidRPr="00A93D63">
        <w:rPr>
          <w:b/>
          <w:bCs/>
          <w:i/>
          <w:iCs/>
          <w:szCs w:val="22"/>
        </w:rPr>
        <w:t xml:space="preserve">Rural leaders already informally connect with other rural leaders, usually within their mission-sector and/or region. </w:t>
      </w:r>
      <w:r w:rsidRPr="00A93D63">
        <w:rPr>
          <w:szCs w:val="22"/>
        </w:rPr>
        <w:t>Many of the individuals and organizations have networks, some of them longstanding—but they are usually informal, low-key, and involve people and organizations that share purpose, place, race/ethnicity, or issue focus. The connections are organized to meet people and organizations’ highest priority value propositions.</w:t>
      </w:r>
    </w:p>
    <w:p w14:paraId="4AB04501" w14:textId="77777777" w:rsidR="00B260C0" w:rsidRPr="00A93D63" w:rsidRDefault="00B260C0" w:rsidP="00B260C0">
      <w:pPr>
        <w:pStyle w:val="ListParagraph"/>
        <w:rPr>
          <w:szCs w:val="22"/>
        </w:rPr>
      </w:pPr>
    </w:p>
    <w:p w14:paraId="67540D87" w14:textId="77777777" w:rsidR="00B260C0" w:rsidRPr="00054F87" w:rsidRDefault="00B260C0" w:rsidP="00B260C0">
      <w:pPr>
        <w:pStyle w:val="CommentText"/>
        <w:numPr>
          <w:ilvl w:val="0"/>
          <w:numId w:val="7"/>
        </w:numPr>
        <w:rPr>
          <w:rFonts w:ascii="Athelas" w:hAnsi="Athelas"/>
          <w:sz w:val="22"/>
          <w:szCs w:val="22"/>
        </w:rPr>
      </w:pPr>
      <w:r w:rsidRPr="00A93D63">
        <w:rPr>
          <w:rFonts w:ascii="Athelas" w:hAnsi="Athelas"/>
          <w:b/>
          <w:bCs/>
          <w:i/>
          <w:iCs/>
          <w:sz w:val="22"/>
          <w:szCs w:val="22"/>
        </w:rPr>
        <w:t xml:space="preserve">Emergence of next-generation rural leadership. </w:t>
      </w:r>
      <w:r w:rsidRPr="00A93D63">
        <w:rPr>
          <w:rFonts w:ascii="Athelas" w:hAnsi="Athelas"/>
          <w:sz w:val="22"/>
          <w:szCs w:val="22"/>
        </w:rPr>
        <w:t xml:space="preserve">Although we do not have any data to confirm this perception, our scan found that many of the leaders of rural organizations—boards, managers, and staff—come out of younger generations, and are under 40 years old. These younger </w:t>
      </w:r>
      <w:r w:rsidRPr="00054F87">
        <w:rPr>
          <w:rFonts w:ascii="Athelas" w:hAnsi="Athelas"/>
          <w:sz w:val="22"/>
          <w:szCs w:val="22"/>
        </w:rPr>
        <w:t>people may see ways forward, which older actors might not know about or believe possible.</w:t>
      </w:r>
    </w:p>
    <w:p w14:paraId="1E97EFE7" w14:textId="77777777" w:rsidR="00B260C0" w:rsidRPr="00054F87" w:rsidRDefault="00B260C0" w:rsidP="00B260C0">
      <w:pPr>
        <w:rPr>
          <w:b/>
          <w:bCs/>
          <w:i/>
          <w:iCs/>
          <w:szCs w:val="22"/>
        </w:rPr>
      </w:pPr>
    </w:p>
    <w:p w14:paraId="45DB2E0F" w14:textId="77777777" w:rsidR="00B260C0" w:rsidRPr="00054F87" w:rsidRDefault="00B260C0" w:rsidP="00B260C0">
      <w:pPr>
        <w:rPr>
          <w:szCs w:val="22"/>
        </w:rPr>
      </w:pPr>
      <w:r w:rsidRPr="00054F87">
        <w:rPr>
          <w:szCs w:val="22"/>
        </w:rPr>
        <w:t>We applied several filters to the 120 organizations: Is the organization led by people of color (staff, boards)? What is the organization’s focus on rural and on addressing racism? At which scale does the organization operate? With which racial groups is the organization closely associated? What is the organization’s mission and how does it work on the mission?</w:t>
      </w:r>
    </w:p>
    <w:p w14:paraId="0482D7AF" w14:textId="77777777" w:rsidR="00B260C0" w:rsidRPr="00054F87" w:rsidRDefault="00B260C0" w:rsidP="00B260C0">
      <w:pPr>
        <w:rPr>
          <w:b/>
          <w:bCs/>
          <w:i/>
          <w:iCs/>
          <w:szCs w:val="22"/>
        </w:rPr>
      </w:pPr>
    </w:p>
    <w:p w14:paraId="2A990D12" w14:textId="77777777" w:rsidR="00B260C0" w:rsidRPr="00054F87" w:rsidRDefault="00B260C0" w:rsidP="00B260C0">
      <w:pPr>
        <w:rPr>
          <w:szCs w:val="22"/>
        </w:rPr>
      </w:pPr>
      <w:r w:rsidRPr="00054F87">
        <w:rPr>
          <w:szCs w:val="22"/>
        </w:rPr>
        <w:t>Applying the filter</w:t>
      </w:r>
      <w:r>
        <w:rPr>
          <w:szCs w:val="22"/>
        </w:rPr>
        <w:t xml:space="preserve">s </w:t>
      </w:r>
      <w:r w:rsidRPr="00054F87">
        <w:rPr>
          <w:szCs w:val="22"/>
        </w:rPr>
        <w:t>resulted in the following results:</w:t>
      </w:r>
    </w:p>
    <w:p w14:paraId="4C9743BB" w14:textId="77777777" w:rsidR="00B260C0" w:rsidRPr="00054F87" w:rsidRDefault="00B260C0" w:rsidP="00B260C0">
      <w:pPr>
        <w:rPr>
          <w:szCs w:val="22"/>
        </w:rPr>
      </w:pPr>
    </w:p>
    <w:p w14:paraId="620E2EC1" w14:textId="77777777" w:rsidR="00B260C0" w:rsidRDefault="00B260C0" w:rsidP="00B260C0">
      <w:pPr>
        <w:pStyle w:val="ListParagraph"/>
        <w:numPr>
          <w:ilvl w:val="0"/>
          <w:numId w:val="7"/>
        </w:numPr>
        <w:rPr>
          <w:szCs w:val="22"/>
        </w:rPr>
      </w:pPr>
      <w:r w:rsidRPr="009A3BB1">
        <w:rPr>
          <w:szCs w:val="22"/>
        </w:rPr>
        <w:t xml:space="preserve">34 of the organizations are led by people of color </w:t>
      </w:r>
      <w:r w:rsidRPr="009A3BB1">
        <w:rPr>
          <w:szCs w:val="22"/>
          <w:u w:val="single"/>
        </w:rPr>
        <w:t>and</w:t>
      </w:r>
      <w:r w:rsidRPr="009A3BB1">
        <w:rPr>
          <w:szCs w:val="22"/>
        </w:rPr>
        <w:t xml:space="preserve"> exclusively or strongly tied to rural areas </w:t>
      </w:r>
      <w:r w:rsidRPr="009A3BB1">
        <w:rPr>
          <w:szCs w:val="22"/>
          <w:u w:val="single"/>
        </w:rPr>
        <w:t>and</w:t>
      </w:r>
      <w:r w:rsidRPr="009A3BB1">
        <w:rPr>
          <w:szCs w:val="22"/>
        </w:rPr>
        <w:t xml:space="preserve"> exclusively or strongly focused on offering solutions that address racism. </w:t>
      </w:r>
    </w:p>
    <w:p w14:paraId="55248970" w14:textId="77777777" w:rsidR="00B260C0" w:rsidRDefault="00B260C0" w:rsidP="00B260C0">
      <w:pPr>
        <w:pStyle w:val="ListParagraph"/>
        <w:numPr>
          <w:ilvl w:val="0"/>
          <w:numId w:val="7"/>
        </w:numPr>
        <w:rPr>
          <w:szCs w:val="22"/>
        </w:rPr>
      </w:pPr>
      <w:r w:rsidRPr="00054F87">
        <w:rPr>
          <w:szCs w:val="22"/>
        </w:rPr>
        <w:t>Of the 34 organizations, 12 operate at the local scale, 8 at state scales, 7 at regional scales, 7 at the national scale, and 9 at Tribal Nation scale (which can overlap with other scales).</w:t>
      </w:r>
    </w:p>
    <w:p w14:paraId="75B97A08" w14:textId="03031876" w:rsidR="00B260C0" w:rsidRDefault="00B260C0" w:rsidP="00B260C0">
      <w:pPr>
        <w:pStyle w:val="ListParagraph"/>
        <w:numPr>
          <w:ilvl w:val="0"/>
          <w:numId w:val="7"/>
        </w:numPr>
        <w:rPr>
          <w:szCs w:val="22"/>
        </w:rPr>
      </w:pPr>
      <w:r w:rsidRPr="00054F87">
        <w:rPr>
          <w:szCs w:val="22"/>
        </w:rPr>
        <w:t xml:space="preserve">The 34 organizations have close associations with different racial groups. 15 are associated mostly with Black people, 10 with Native people, 5 with </w:t>
      </w:r>
      <w:r w:rsidR="00246089">
        <w:rPr>
          <w:szCs w:val="22"/>
        </w:rPr>
        <w:t>w</w:t>
      </w:r>
      <w:r w:rsidRPr="00054F87">
        <w:rPr>
          <w:szCs w:val="22"/>
        </w:rPr>
        <w:t>hite people, 3 with Latinx people, and 1 with mostly Asian people.</w:t>
      </w:r>
    </w:p>
    <w:p w14:paraId="678B77C5" w14:textId="77777777" w:rsidR="00B260C0" w:rsidRPr="00054F87" w:rsidRDefault="00B260C0" w:rsidP="00B260C0">
      <w:pPr>
        <w:pStyle w:val="ListParagraph"/>
        <w:numPr>
          <w:ilvl w:val="0"/>
          <w:numId w:val="7"/>
        </w:numPr>
        <w:rPr>
          <w:szCs w:val="22"/>
        </w:rPr>
      </w:pPr>
      <w:r w:rsidRPr="00054F87">
        <w:rPr>
          <w:szCs w:val="22"/>
        </w:rPr>
        <w:t xml:space="preserve">The 34 organizations have some overlap in the type of activities they undertake: </w:t>
      </w:r>
    </w:p>
    <w:p w14:paraId="6C7EABF0" w14:textId="77777777" w:rsidR="00B260C0" w:rsidRDefault="00B260C0" w:rsidP="00B260C0">
      <w:pPr>
        <w:pStyle w:val="ListParagraph"/>
        <w:numPr>
          <w:ilvl w:val="1"/>
          <w:numId w:val="7"/>
        </w:numPr>
        <w:rPr>
          <w:szCs w:val="22"/>
        </w:rPr>
      </w:pPr>
      <w:r w:rsidRPr="009A3BB1">
        <w:rPr>
          <w:szCs w:val="22"/>
        </w:rPr>
        <w:t>Community development (12 organizations)</w:t>
      </w:r>
    </w:p>
    <w:p w14:paraId="5296FB31" w14:textId="77777777" w:rsidR="00B260C0" w:rsidRDefault="00B260C0" w:rsidP="00B260C0">
      <w:pPr>
        <w:pStyle w:val="ListParagraph"/>
        <w:numPr>
          <w:ilvl w:val="1"/>
          <w:numId w:val="7"/>
        </w:numPr>
        <w:rPr>
          <w:szCs w:val="22"/>
        </w:rPr>
      </w:pPr>
      <w:r w:rsidRPr="00054F87">
        <w:rPr>
          <w:szCs w:val="22"/>
        </w:rPr>
        <w:t>Racial equity (8 organizations)</w:t>
      </w:r>
    </w:p>
    <w:p w14:paraId="052F5AF3" w14:textId="77777777" w:rsidR="00B260C0" w:rsidRDefault="00B260C0" w:rsidP="00B260C0">
      <w:pPr>
        <w:pStyle w:val="ListParagraph"/>
        <w:numPr>
          <w:ilvl w:val="1"/>
          <w:numId w:val="7"/>
        </w:numPr>
        <w:rPr>
          <w:szCs w:val="22"/>
        </w:rPr>
      </w:pPr>
      <w:r w:rsidRPr="00054F87">
        <w:rPr>
          <w:szCs w:val="22"/>
        </w:rPr>
        <w:t>Economic development (8 organizations)</w:t>
      </w:r>
    </w:p>
    <w:p w14:paraId="04C0CF15" w14:textId="77777777" w:rsidR="00B260C0" w:rsidRDefault="00B260C0" w:rsidP="00B260C0">
      <w:pPr>
        <w:pStyle w:val="ListParagraph"/>
        <w:numPr>
          <w:ilvl w:val="1"/>
          <w:numId w:val="7"/>
        </w:numPr>
        <w:rPr>
          <w:szCs w:val="22"/>
        </w:rPr>
      </w:pPr>
      <w:r w:rsidRPr="00054F87">
        <w:rPr>
          <w:szCs w:val="22"/>
        </w:rPr>
        <w:t>Environmental (7 organizations)</w:t>
      </w:r>
    </w:p>
    <w:p w14:paraId="73D511F2" w14:textId="77777777" w:rsidR="00B260C0" w:rsidRDefault="00B260C0" w:rsidP="00B260C0">
      <w:pPr>
        <w:pStyle w:val="ListParagraph"/>
        <w:numPr>
          <w:ilvl w:val="1"/>
          <w:numId w:val="7"/>
        </w:numPr>
        <w:rPr>
          <w:szCs w:val="22"/>
        </w:rPr>
      </w:pPr>
      <w:r w:rsidRPr="00054F87">
        <w:rPr>
          <w:szCs w:val="22"/>
        </w:rPr>
        <w:t>Wealth building/providing access to capital (7 organizations)</w:t>
      </w:r>
    </w:p>
    <w:p w14:paraId="501E6F64" w14:textId="77777777" w:rsidR="00B260C0" w:rsidRDefault="00B260C0" w:rsidP="00B260C0">
      <w:pPr>
        <w:rPr>
          <w:szCs w:val="22"/>
        </w:rPr>
      </w:pPr>
    </w:p>
    <w:p w14:paraId="3AA4408C" w14:textId="7EC6DFCC" w:rsidR="00B260C0" w:rsidRDefault="00B260C0" w:rsidP="00B260C0">
      <w:pPr>
        <w:rPr>
          <w:szCs w:val="22"/>
        </w:rPr>
      </w:pPr>
      <w:r>
        <w:rPr>
          <w:szCs w:val="22"/>
        </w:rPr>
        <w:lastRenderedPageBreak/>
        <w:t xml:space="preserve">Our team believes the scan results show that a multi-racial, multi-geography network could be launched with rural-based organizations led by people of color dedicated to dismantling racism, as long as network design takes into account the </w:t>
      </w:r>
      <w:proofErr w:type="gramStart"/>
      <w:r>
        <w:rPr>
          <w:szCs w:val="22"/>
        </w:rPr>
        <w:t>conditions</w:t>
      </w:r>
      <w:proofErr w:type="gramEnd"/>
      <w:r>
        <w:rPr>
          <w:szCs w:val="22"/>
        </w:rPr>
        <w:t xml:space="preserve"> we also found in organizations like these. </w:t>
      </w:r>
    </w:p>
    <w:p w14:paraId="2E848BA6" w14:textId="77777777" w:rsidR="00F4027A" w:rsidRDefault="00F4027A" w:rsidP="00B260C0">
      <w:pPr>
        <w:rPr>
          <w:szCs w:val="22"/>
        </w:rPr>
      </w:pPr>
    </w:p>
    <w:p w14:paraId="4A4CFFF1" w14:textId="77777777" w:rsidR="00B260C0" w:rsidRPr="00F4027A" w:rsidRDefault="00B260C0" w:rsidP="00F4027A">
      <w:pPr>
        <w:rPr>
          <w:b/>
          <w:bCs/>
        </w:rPr>
      </w:pPr>
      <w:bookmarkStart w:id="2" w:name="_Toc96513164"/>
      <w:r w:rsidRPr="00F4027A">
        <w:rPr>
          <w:b/>
          <w:bCs/>
        </w:rPr>
        <w:t>Geography of People of Color and Poverty in Rural Areas</w:t>
      </w:r>
      <w:bookmarkEnd w:id="2"/>
    </w:p>
    <w:p w14:paraId="0703AC87" w14:textId="77777777" w:rsidR="00B260C0" w:rsidRPr="00C33609" w:rsidRDefault="00B260C0" w:rsidP="00B260C0">
      <w:pPr>
        <w:rPr>
          <w:b/>
          <w:bCs/>
          <w:szCs w:val="22"/>
        </w:rPr>
      </w:pPr>
    </w:p>
    <w:p w14:paraId="32FE60B4" w14:textId="77777777" w:rsidR="00B260C0" w:rsidRDefault="00B260C0" w:rsidP="00B260C0">
      <w:pPr>
        <w:keepNext/>
        <w:rPr>
          <w:szCs w:val="22"/>
        </w:rPr>
      </w:pPr>
      <w:r w:rsidRPr="00320126">
        <w:rPr>
          <w:szCs w:val="22"/>
        </w:rPr>
        <w:t xml:space="preserve">Our demographic analysis focused on what could be learned about the </w:t>
      </w:r>
      <w:r>
        <w:rPr>
          <w:szCs w:val="22"/>
        </w:rPr>
        <w:t xml:space="preserve">“lumpy” </w:t>
      </w:r>
      <w:r w:rsidRPr="00320126">
        <w:rPr>
          <w:szCs w:val="22"/>
        </w:rPr>
        <w:t xml:space="preserve">geographic distribution of people of color with low incomes in rural America. </w:t>
      </w:r>
      <w:r>
        <w:rPr>
          <w:szCs w:val="22"/>
        </w:rPr>
        <w:t xml:space="preserve">Roughly 4 million rural people of color live below the federal poverty level. But where do these people reside? How geographically concentrated is their population? </w:t>
      </w:r>
    </w:p>
    <w:p w14:paraId="63D0B2EE" w14:textId="77777777" w:rsidR="00B260C0" w:rsidRDefault="00B260C0" w:rsidP="00B260C0">
      <w:pPr>
        <w:keepNext/>
        <w:rPr>
          <w:szCs w:val="22"/>
        </w:rPr>
      </w:pPr>
    </w:p>
    <w:p w14:paraId="586D309F" w14:textId="77777777" w:rsidR="00B260C0" w:rsidRDefault="00B260C0" w:rsidP="00B260C0">
      <w:pPr>
        <w:keepNext/>
        <w:rPr>
          <w:szCs w:val="22"/>
        </w:rPr>
      </w:pPr>
      <w:r>
        <w:rPr>
          <w:szCs w:val="22"/>
        </w:rPr>
        <w:t xml:space="preserve">Our data analysis started with a focus on the 151 rural counties (out of a total of 1,976 counties) in which people of color make up a majority of the population and the 301 rural counties that have experienced persistent poverty. We found that: </w:t>
      </w:r>
    </w:p>
    <w:p w14:paraId="6FEF2DA2" w14:textId="77777777" w:rsidR="00B260C0" w:rsidRDefault="00B260C0" w:rsidP="00B260C0">
      <w:pPr>
        <w:keepNext/>
        <w:rPr>
          <w:szCs w:val="22"/>
        </w:rPr>
      </w:pPr>
    </w:p>
    <w:p w14:paraId="45B692F1" w14:textId="77777777" w:rsidR="00B260C0" w:rsidRDefault="00B260C0" w:rsidP="00B260C0">
      <w:pPr>
        <w:pStyle w:val="ListParagraph"/>
        <w:keepNext/>
        <w:numPr>
          <w:ilvl w:val="0"/>
          <w:numId w:val="7"/>
        </w:numPr>
        <w:rPr>
          <w:szCs w:val="22"/>
        </w:rPr>
      </w:pPr>
      <w:r>
        <w:rPr>
          <w:szCs w:val="22"/>
        </w:rPr>
        <w:t>8</w:t>
      </w:r>
      <w:r w:rsidRPr="00320126">
        <w:rPr>
          <w:szCs w:val="22"/>
        </w:rPr>
        <w:t xml:space="preserve">0% of </w:t>
      </w:r>
      <w:r>
        <w:rPr>
          <w:szCs w:val="22"/>
        </w:rPr>
        <w:t xml:space="preserve">these </w:t>
      </w:r>
      <w:r w:rsidRPr="00320126">
        <w:rPr>
          <w:szCs w:val="22"/>
        </w:rPr>
        <w:t>counties are also persistent poverty counties.</w:t>
      </w:r>
    </w:p>
    <w:p w14:paraId="08300165" w14:textId="77777777" w:rsidR="00B260C0" w:rsidRDefault="00B260C0" w:rsidP="00B260C0">
      <w:pPr>
        <w:pStyle w:val="ListParagraph"/>
        <w:keepNext/>
        <w:numPr>
          <w:ilvl w:val="0"/>
          <w:numId w:val="7"/>
        </w:numPr>
        <w:rPr>
          <w:szCs w:val="22"/>
        </w:rPr>
      </w:pPr>
      <w:r>
        <w:rPr>
          <w:szCs w:val="22"/>
        </w:rPr>
        <w:t>50%</w:t>
      </w:r>
      <w:r w:rsidRPr="00967821">
        <w:rPr>
          <w:szCs w:val="22"/>
        </w:rPr>
        <w:t xml:space="preserve"> of rural counties with persistent poverty contain </w:t>
      </w:r>
      <w:r>
        <w:rPr>
          <w:szCs w:val="22"/>
        </w:rPr>
        <w:t xml:space="preserve">majorities of </w:t>
      </w:r>
      <w:r w:rsidRPr="00967821">
        <w:rPr>
          <w:szCs w:val="22"/>
        </w:rPr>
        <w:t>people of color</w:t>
      </w:r>
      <w:r>
        <w:rPr>
          <w:szCs w:val="22"/>
        </w:rPr>
        <w:t>.</w:t>
      </w:r>
    </w:p>
    <w:p w14:paraId="34B22B00" w14:textId="77777777" w:rsidR="00B260C0" w:rsidRPr="006A24E4" w:rsidRDefault="00B260C0" w:rsidP="00B260C0">
      <w:pPr>
        <w:pStyle w:val="ListParagraph"/>
        <w:keepNext/>
        <w:numPr>
          <w:ilvl w:val="0"/>
          <w:numId w:val="7"/>
        </w:numPr>
        <w:rPr>
          <w:szCs w:val="22"/>
        </w:rPr>
      </w:pPr>
      <w:r w:rsidRPr="00E72126">
        <w:rPr>
          <w:szCs w:val="22"/>
        </w:rPr>
        <w:t xml:space="preserve">12% of </w:t>
      </w:r>
      <w:r>
        <w:rPr>
          <w:szCs w:val="22"/>
        </w:rPr>
        <w:t xml:space="preserve">all rural </w:t>
      </w:r>
      <w:r w:rsidRPr="00E72126">
        <w:rPr>
          <w:szCs w:val="22"/>
        </w:rPr>
        <w:t xml:space="preserve">people of color living in poverty </w:t>
      </w:r>
      <w:r>
        <w:rPr>
          <w:szCs w:val="22"/>
        </w:rPr>
        <w:t xml:space="preserve">(510,000 people) live in </w:t>
      </w:r>
      <w:r w:rsidRPr="00E72126">
        <w:rPr>
          <w:szCs w:val="22"/>
        </w:rPr>
        <w:t xml:space="preserve">6% of rural </w:t>
      </w:r>
      <w:r>
        <w:rPr>
          <w:szCs w:val="22"/>
        </w:rPr>
        <w:t xml:space="preserve">counties, which have persistent poverty and </w:t>
      </w:r>
      <w:r w:rsidRPr="00E72126">
        <w:rPr>
          <w:szCs w:val="22"/>
        </w:rPr>
        <w:t>most of which are in just 6 states (</w:t>
      </w:r>
      <w:r w:rsidRPr="00E72126">
        <w:rPr>
          <w:rFonts w:cs="Arial"/>
          <w:szCs w:val="22"/>
        </w:rPr>
        <w:t>Alabama</w:t>
      </w:r>
      <w:r>
        <w:rPr>
          <w:rFonts w:cs="Arial"/>
          <w:szCs w:val="22"/>
        </w:rPr>
        <w:t xml:space="preserve">, </w:t>
      </w:r>
      <w:r w:rsidRPr="00E72126">
        <w:rPr>
          <w:rFonts w:cs="Arial"/>
          <w:szCs w:val="22"/>
        </w:rPr>
        <w:t>Georgia, Mississippi</w:t>
      </w:r>
      <w:r>
        <w:rPr>
          <w:rFonts w:cs="Arial"/>
          <w:szCs w:val="22"/>
        </w:rPr>
        <w:t xml:space="preserve">, </w:t>
      </w:r>
      <w:r w:rsidRPr="00E72126">
        <w:rPr>
          <w:rFonts w:cs="Arial"/>
          <w:szCs w:val="22"/>
        </w:rPr>
        <w:t>South Carolina</w:t>
      </w:r>
      <w:r>
        <w:rPr>
          <w:rFonts w:cs="Arial"/>
          <w:szCs w:val="22"/>
        </w:rPr>
        <w:t xml:space="preserve">, </w:t>
      </w:r>
      <w:r w:rsidRPr="00E72126">
        <w:rPr>
          <w:rFonts w:cs="Arial"/>
          <w:szCs w:val="22"/>
        </w:rPr>
        <w:t>South Dakota</w:t>
      </w:r>
      <w:r>
        <w:rPr>
          <w:rFonts w:cs="Arial"/>
          <w:szCs w:val="22"/>
        </w:rPr>
        <w:t xml:space="preserve">, </w:t>
      </w:r>
      <w:r w:rsidRPr="00E72126">
        <w:rPr>
          <w:rFonts w:cs="Arial"/>
          <w:szCs w:val="22"/>
        </w:rPr>
        <w:t>Texas</w:t>
      </w:r>
      <w:r>
        <w:rPr>
          <w:rFonts w:cs="Arial"/>
          <w:szCs w:val="22"/>
        </w:rPr>
        <w:t>)</w:t>
      </w:r>
      <w:r w:rsidRPr="00E72126">
        <w:rPr>
          <w:rFonts w:cs="Arial"/>
          <w:szCs w:val="22"/>
        </w:rPr>
        <w:t xml:space="preserve"> </w:t>
      </w:r>
    </w:p>
    <w:p w14:paraId="32287864" w14:textId="77777777" w:rsidR="00B260C0" w:rsidRDefault="00B260C0" w:rsidP="00B260C0">
      <w:pPr>
        <w:pStyle w:val="ListParagraph"/>
        <w:keepNext/>
        <w:numPr>
          <w:ilvl w:val="0"/>
          <w:numId w:val="7"/>
        </w:numPr>
        <w:rPr>
          <w:szCs w:val="22"/>
        </w:rPr>
      </w:pPr>
      <w:r>
        <w:rPr>
          <w:szCs w:val="22"/>
        </w:rPr>
        <w:t xml:space="preserve">In the 20 most populated of the majority-minority counties, there are 734,000 people of color. Roughly 256,000 of them live in poverty. Thus, in 1% of all rural counties, there are roughly 5% of all rural people of color living in poverty. </w:t>
      </w:r>
    </w:p>
    <w:p w14:paraId="559F628D" w14:textId="77777777" w:rsidR="00B260C0" w:rsidRPr="00E72126" w:rsidRDefault="00B260C0" w:rsidP="00B260C0">
      <w:pPr>
        <w:pStyle w:val="ListParagraph"/>
        <w:keepNext/>
        <w:rPr>
          <w:szCs w:val="22"/>
        </w:rPr>
      </w:pPr>
    </w:p>
    <w:p w14:paraId="5E94AD56" w14:textId="77777777" w:rsidR="00B260C0" w:rsidRPr="00320126" w:rsidRDefault="00B260C0" w:rsidP="00B260C0">
      <w:pPr>
        <w:keepNext/>
        <w:rPr>
          <w:szCs w:val="22"/>
        </w:rPr>
      </w:pPr>
      <w:r w:rsidRPr="00320126">
        <w:rPr>
          <w:szCs w:val="22"/>
        </w:rPr>
        <w:t>We started by focusing on rural counties with persistent poverty.</w:t>
      </w:r>
      <w:r>
        <w:rPr>
          <w:szCs w:val="22"/>
        </w:rPr>
        <w:t xml:space="preserve"> </w:t>
      </w:r>
      <w:r w:rsidRPr="00320126">
        <w:rPr>
          <w:szCs w:val="22"/>
        </w:rPr>
        <w:t>Background data from 2020</w:t>
      </w:r>
      <w:r>
        <w:rPr>
          <w:szCs w:val="22"/>
        </w:rPr>
        <w:t>:</w:t>
      </w:r>
      <w:r w:rsidRPr="00320126">
        <w:rPr>
          <w:rStyle w:val="FootnoteReference"/>
          <w:szCs w:val="22"/>
        </w:rPr>
        <w:footnoteReference w:id="10"/>
      </w:r>
      <w:r w:rsidRPr="00320126">
        <w:rPr>
          <w:szCs w:val="22"/>
        </w:rPr>
        <w:t xml:space="preserve"> </w:t>
      </w:r>
    </w:p>
    <w:p w14:paraId="08CAAE96" w14:textId="77777777" w:rsidR="00B260C0" w:rsidRPr="00320126" w:rsidRDefault="00B260C0" w:rsidP="00B260C0">
      <w:pPr>
        <w:keepNext/>
        <w:rPr>
          <w:szCs w:val="22"/>
        </w:rPr>
      </w:pPr>
    </w:p>
    <w:p w14:paraId="62986B02" w14:textId="77777777" w:rsidR="00B260C0" w:rsidRPr="00320126" w:rsidRDefault="00B260C0" w:rsidP="00B260C0">
      <w:pPr>
        <w:pStyle w:val="ListParagraph"/>
        <w:numPr>
          <w:ilvl w:val="0"/>
          <w:numId w:val="7"/>
        </w:numPr>
        <w:rPr>
          <w:rFonts w:cs="Arial"/>
          <w:szCs w:val="22"/>
        </w:rPr>
      </w:pPr>
      <w:r w:rsidRPr="00320126">
        <w:rPr>
          <w:szCs w:val="22"/>
        </w:rPr>
        <w:t>Total US rural population (non-metro counties) = 57 million</w:t>
      </w:r>
    </w:p>
    <w:p w14:paraId="0C4E269D" w14:textId="77777777" w:rsidR="00B260C0" w:rsidRPr="00320126" w:rsidRDefault="00B260C0" w:rsidP="00B260C0">
      <w:pPr>
        <w:pStyle w:val="ListParagraph"/>
        <w:numPr>
          <w:ilvl w:val="0"/>
          <w:numId w:val="7"/>
        </w:numPr>
        <w:rPr>
          <w:rFonts w:cs="Arial"/>
          <w:szCs w:val="22"/>
        </w:rPr>
      </w:pPr>
      <w:r w:rsidRPr="00320126">
        <w:rPr>
          <w:szCs w:val="22"/>
        </w:rPr>
        <w:t>White % of rural population = 76%</w:t>
      </w:r>
    </w:p>
    <w:p w14:paraId="2D2C0451" w14:textId="77777777" w:rsidR="00B260C0" w:rsidRPr="00320126" w:rsidRDefault="00B260C0" w:rsidP="00B260C0">
      <w:pPr>
        <w:pStyle w:val="ListParagraph"/>
        <w:numPr>
          <w:ilvl w:val="0"/>
          <w:numId w:val="7"/>
        </w:numPr>
        <w:rPr>
          <w:rFonts w:cs="Arial"/>
          <w:szCs w:val="22"/>
        </w:rPr>
      </w:pPr>
      <w:r w:rsidRPr="00320126">
        <w:rPr>
          <w:szCs w:val="22"/>
        </w:rPr>
        <w:t>Total # of rural people of color = 13.7 million</w:t>
      </w:r>
    </w:p>
    <w:p w14:paraId="0CAE6282" w14:textId="77777777" w:rsidR="00B260C0" w:rsidRPr="00320126" w:rsidRDefault="00B260C0" w:rsidP="00B260C0">
      <w:pPr>
        <w:pStyle w:val="ListParagraph"/>
        <w:numPr>
          <w:ilvl w:val="0"/>
          <w:numId w:val="7"/>
        </w:numPr>
        <w:rPr>
          <w:rFonts w:cs="Arial"/>
          <w:szCs w:val="22"/>
        </w:rPr>
      </w:pPr>
      <w:r w:rsidRPr="00320126">
        <w:rPr>
          <w:szCs w:val="22"/>
        </w:rPr>
        <w:t>Total # of rural counties = 1,976 counties</w:t>
      </w:r>
    </w:p>
    <w:p w14:paraId="1905C8DB" w14:textId="77777777" w:rsidR="00B260C0" w:rsidRPr="00320126" w:rsidRDefault="00B260C0" w:rsidP="00B260C0">
      <w:pPr>
        <w:pStyle w:val="ListParagraph"/>
        <w:numPr>
          <w:ilvl w:val="0"/>
          <w:numId w:val="7"/>
        </w:numPr>
        <w:rPr>
          <w:rFonts w:cs="Arial"/>
          <w:szCs w:val="22"/>
        </w:rPr>
      </w:pPr>
      <w:r w:rsidRPr="00320126">
        <w:rPr>
          <w:szCs w:val="22"/>
        </w:rPr>
        <w:t>Total # of rural counties in persistent poverty = 301 counties (15% of total counties)</w:t>
      </w:r>
    </w:p>
    <w:p w14:paraId="0DF732CF" w14:textId="77777777" w:rsidR="00B260C0" w:rsidRPr="00320126" w:rsidRDefault="00B260C0" w:rsidP="00B260C0">
      <w:pPr>
        <w:pStyle w:val="ListParagraph"/>
        <w:numPr>
          <w:ilvl w:val="0"/>
          <w:numId w:val="7"/>
        </w:numPr>
        <w:rPr>
          <w:rFonts w:cs="Arial"/>
          <w:szCs w:val="22"/>
        </w:rPr>
      </w:pPr>
      <w:r w:rsidRPr="00320126">
        <w:rPr>
          <w:szCs w:val="22"/>
        </w:rPr>
        <w:t xml:space="preserve">Total population of persistent poverty counties = 5.7 million people </w:t>
      </w:r>
      <w:r>
        <w:rPr>
          <w:szCs w:val="22"/>
        </w:rPr>
        <w:t>(10% of total rural population)</w:t>
      </w:r>
    </w:p>
    <w:p w14:paraId="5F64D9FB" w14:textId="77777777" w:rsidR="00B260C0" w:rsidRPr="00320126" w:rsidRDefault="00B260C0" w:rsidP="00B260C0">
      <w:pPr>
        <w:keepNext/>
        <w:rPr>
          <w:szCs w:val="22"/>
        </w:rPr>
      </w:pPr>
    </w:p>
    <w:p w14:paraId="3B0B6786" w14:textId="77777777" w:rsidR="00B260C0" w:rsidRPr="00320126" w:rsidRDefault="00B260C0" w:rsidP="00B260C0">
      <w:pPr>
        <w:keepNext/>
        <w:rPr>
          <w:szCs w:val="22"/>
        </w:rPr>
      </w:pPr>
      <w:r w:rsidRPr="00320126">
        <w:rPr>
          <w:szCs w:val="22"/>
        </w:rPr>
        <w:t>Using county-level data assembled by the Carolina Population Center at the University of North Carolina-Chapel Hill, we determined that:</w:t>
      </w:r>
    </w:p>
    <w:p w14:paraId="3F8F4464" w14:textId="77777777" w:rsidR="00B260C0" w:rsidRPr="00A3683C" w:rsidRDefault="00B260C0" w:rsidP="00B260C0">
      <w:pPr>
        <w:keepNext/>
        <w:rPr>
          <w:szCs w:val="22"/>
        </w:rPr>
      </w:pPr>
    </w:p>
    <w:p w14:paraId="763F7975" w14:textId="77777777" w:rsidR="00B260C0" w:rsidRPr="00320126" w:rsidRDefault="00B260C0" w:rsidP="00B260C0">
      <w:pPr>
        <w:pStyle w:val="ListParagraph"/>
        <w:numPr>
          <w:ilvl w:val="0"/>
          <w:numId w:val="7"/>
        </w:numPr>
        <w:rPr>
          <w:rFonts w:cs="Arial"/>
          <w:szCs w:val="22"/>
        </w:rPr>
      </w:pPr>
      <w:r w:rsidRPr="00320126">
        <w:rPr>
          <w:szCs w:val="22"/>
        </w:rPr>
        <w:t>1</w:t>
      </w:r>
      <w:r>
        <w:rPr>
          <w:szCs w:val="22"/>
        </w:rPr>
        <w:t>51</w:t>
      </w:r>
      <w:r w:rsidRPr="00320126">
        <w:rPr>
          <w:szCs w:val="22"/>
        </w:rPr>
        <w:t xml:space="preserve"> rural counties</w:t>
      </w:r>
      <w:r>
        <w:rPr>
          <w:szCs w:val="22"/>
        </w:rPr>
        <w:t xml:space="preserve"> (7% of total # of rural counties) have populations that are a majority people of color. </w:t>
      </w:r>
      <w:r w:rsidRPr="00320126">
        <w:rPr>
          <w:szCs w:val="22"/>
        </w:rPr>
        <w:t>These 151 counties contain roughly 3.0 million people</w:t>
      </w:r>
      <w:r>
        <w:rPr>
          <w:szCs w:val="22"/>
        </w:rPr>
        <w:t>,</w:t>
      </w:r>
      <w:r w:rsidRPr="00320126">
        <w:rPr>
          <w:szCs w:val="22"/>
        </w:rPr>
        <w:t xml:space="preserve"> about two-thirds of them</w:t>
      </w:r>
      <w:r>
        <w:rPr>
          <w:szCs w:val="22"/>
        </w:rPr>
        <w:t>—</w:t>
      </w:r>
      <w:r w:rsidRPr="00320126">
        <w:rPr>
          <w:szCs w:val="22"/>
        </w:rPr>
        <w:t>2.0 million</w:t>
      </w:r>
      <w:r>
        <w:rPr>
          <w:szCs w:val="22"/>
        </w:rPr>
        <w:t>—people of color (14% of all rural people of color).</w:t>
      </w:r>
    </w:p>
    <w:p w14:paraId="7C236221" w14:textId="77777777" w:rsidR="00B260C0" w:rsidRPr="00320126" w:rsidRDefault="00B260C0" w:rsidP="00B260C0">
      <w:pPr>
        <w:pStyle w:val="ListParagraph"/>
        <w:numPr>
          <w:ilvl w:val="1"/>
          <w:numId w:val="7"/>
        </w:numPr>
        <w:rPr>
          <w:rFonts w:cs="Arial"/>
          <w:szCs w:val="22"/>
        </w:rPr>
      </w:pPr>
      <w:r w:rsidRPr="00320126">
        <w:rPr>
          <w:rFonts w:cs="Arial"/>
          <w:szCs w:val="22"/>
        </w:rPr>
        <w:t>985,000 African-Americ</w:t>
      </w:r>
      <w:r>
        <w:rPr>
          <w:rFonts w:cs="Arial"/>
          <w:szCs w:val="22"/>
        </w:rPr>
        <w:t>an</w:t>
      </w:r>
    </w:p>
    <w:p w14:paraId="74788A17" w14:textId="77777777" w:rsidR="00B260C0" w:rsidRPr="00320126" w:rsidRDefault="00B260C0" w:rsidP="00B260C0">
      <w:pPr>
        <w:pStyle w:val="ListParagraph"/>
        <w:numPr>
          <w:ilvl w:val="1"/>
          <w:numId w:val="7"/>
        </w:numPr>
        <w:rPr>
          <w:rFonts w:cs="Arial"/>
          <w:szCs w:val="22"/>
        </w:rPr>
      </w:pPr>
      <w:r w:rsidRPr="00320126">
        <w:rPr>
          <w:rFonts w:cs="Arial"/>
          <w:szCs w:val="22"/>
        </w:rPr>
        <w:t>591,000 Hispanic</w:t>
      </w:r>
      <w:r>
        <w:rPr>
          <w:rFonts w:cs="Arial"/>
          <w:szCs w:val="22"/>
        </w:rPr>
        <w:t xml:space="preserve"> </w:t>
      </w:r>
    </w:p>
    <w:p w14:paraId="4F56892B" w14:textId="77777777" w:rsidR="00B260C0" w:rsidRPr="00320126" w:rsidRDefault="00B260C0" w:rsidP="00B260C0">
      <w:pPr>
        <w:pStyle w:val="ListParagraph"/>
        <w:numPr>
          <w:ilvl w:val="1"/>
          <w:numId w:val="7"/>
        </w:numPr>
        <w:rPr>
          <w:rFonts w:cs="Arial"/>
          <w:szCs w:val="22"/>
        </w:rPr>
      </w:pPr>
      <w:r w:rsidRPr="00320126">
        <w:rPr>
          <w:rFonts w:cs="Arial"/>
          <w:szCs w:val="22"/>
        </w:rPr>
        <w:t>389,000 American Indian</w:t>
      </w:r>
    </w:p>
    <w:p w14:paraId="45D9175A" w14:textId="77777777" w:rsidR="00B260C0" w:rsidRPr="00320126" w:rsidRDefault="00B260C0" w:rsidP="00B260C0">
      <w:pPr>
        <w:pStyle w:val="ListParagraph"/>
        <w:numPr>
          <w:ilvl w:val="1"/>
          <w:numId w:val="7"/>
        </w:numPr>
        <w:rPr>
          <w:rFonts w:cs="Arial"/>
          <w:szCs w:val="22"/>
        </w:rPr>
      </w:pPr>
      <w:r w:rsidRPr="00320126">
        <w:rPr>
          <w:rFonts w:cs="Arial"/>
          <w:szCs w:val="22"/>
        </w:rPr>
        <w:t xml:space="preserve">18,000 Asian </w:t>
      </w:r>
    </w:p>
    <w:p w14:paraId="3461C4A4" w14:textId="77777777" w:rsidR="00B260C0" w:rsidRPr="00320126" w:rsidRDefault="00B260C0" w:rsidP="00B260C0">
      <w:pPr>
        <w:pStyle w:val="ListParagraph"/>
        <w:numPr>
          <w:ilvl w:val="1"/>
          <w:numId w:val="7"/>
        </w:numPr>
        <w:rPr>
          <w:rFonts w:cs="Arial"/>
          <w:szCs w:val="22"/>
        </w:rPr>
      </w:pPr>
      <w:r w:rsidRPr="00320126">
        <w:rPr>
          <w:rFonts w:cs="Arial"/>
          <w:szCs w:val="22"/>
        </w:rPr>
        <w:t>78,000 multiple races</w:t>
      </w:r>
    </w:p>
    <w:p w14:paraId="25C1A577" w14:textId="50166981" w:rsidR="00B260C0" w:rsidRDefault="00B260C0" w:rsidP="00B260C0">
      <w:pPr>
        <w:pStyle w:val="ListParagraph"/>
        <w:numPr>
          <w:ilvl w:val="1"/>
          <w:numId w:val="7"/>
        </w:numPr>
        <w:rPr>
          <w:rFonts w:cs="Arial"/>
          <w:szCs w:val="22"/>
        </w:rPr>
      </w:pPr>
      <w:r w:rsidRPr="00320126">
        <w:rPr>
          <w:rFonts w:cs="Arial"/>
          <w:szCs w:val="22"/>
        </w:rPr>
        <w:t xml:space="preserve">960,000 </w:t>
      </w:r>
      <w:r w:rsidR="00246089">
        <w:rPr>
          <w:rFonts w:cs="Arial"/>
          <w:szCs w:val="22"/>
        </w:rPr>
        <w:t>w</w:t>
      </w:r>
      <w:r w:rsidRPr="00320126">
        <w:rPr>
          <w:rFonts w:cs="Arial"/>
          <w:szCs w:val="22"/>
        </w:rPr>
        <w:t>hite</w:t>
      </w:r>
    </w:p>
    <w:p w14:paraId="10F59090" w14:textId="77777777" w:rsidR="00B260C0" w:rsidRPr="00CA4C3F" w:rsidRDefault="00B260C0" w:rsidP="00B260C0">
      <w:pPr>
        <w:pStyle w:val="ListParagraph"/>
        <w:numPr>
          <w:ilvl w:val="0"/>
          <w:numId w:val="7"/>
        </w:numPr>
        <w:rPr>
          <w:rFonts w:cs="Arial"/>
          <w:szCs w:val="22"/>
        </w:rPr>
      </w:pPr>
      <w:r w:rsidRPr="00320126">
        <w:rPr>
          <w:szCs w:val="22"/>
        </w:rPr>
        <w:t xml:space="preserve">In nearly </w:t>
      </w:r>
      <w:r>
        <w:rPr>
          <w:szCs w:val="22"/>
        </w:rPr>
        <w:t xml:space="preserve">each </w:t>
      </w:r>
      <w:r w:rsidRPr="00320126">
        <w:rPr>
          <w:szCs w:val="22"/>
        </w:rPr>
        <w:t xml:space="preserve">of these counties most of the people of color are </w:t>
      </w:r>
      <w:r w:rsidRPr="00320126">
        <w:rPr>
          <w:rFonts w:cs="Arial"/>
          <w:color w:val="2A2A2A"/>
          <w:szCs w:val="22"/>
          <w:shd w:val="clear" w:color="auto" w:fill="FFFFFF"/>
        </w:rPr>
        <w:t xml:space="preserve">of a single race/ethnicity (Native, African America, Hispanic or Latinx). </w:t>
      </w:r>
    </w:p>
    <w:p w14:paraId="37B79EFB" w14:textId="77777777" w:rsidR="00B260C0" w:rsidRDefault="00B260C0" w:rsidP="00B260C0">
      <w:pPr>
        <w:pStyle w:val="ListParagraph"/>
        <w:numPr>
          <w:ilvl w:val="0"/>
          <w:numId w:val="7"/>
        </w:numPr>
        <w:rPr>
          <w:rFonts w:cs="Arial"/>
          <w:szCs w:val="22"/>
        </w:rPr>
      </w:pPr>
      <w:r>
        <w:rPr>
          <w:rFonts w:cs="Arial"/>
          <w:szCs w:val="22"/>
        </w:rPr>
        <w:lastRenderedPageBreak/>
        <w:t>122 of these 151 counties (80%) have also experienced persistent poverty. They have a total people of color population of about 1.7 million. 70% of these counties (86 counties) are located in just 6 states:</w:t>
      </w:r>
    </w:p>
    <w:p w14:paraId="1A5AE5A4" w14:textId="77777777" w:rsidR="00B260C0" w:rsidRDefault="00B260C0" w:rsidP="00B260C0">
      <w:pPr>
        <w:pStyle w:val="ListParagraph"/>
        <w:numPr>
          <w:ilvl w:val="1"/>
          <w:numId w:val="7"/>
        </w:numPr>
        <w:rPr>
          <w:rFonts w:cs="Arial"/>
          <w:szCs w:val="22"/>
        </w:rPr>
      </w:pPr>
      <w:r>
        <w:rPr>
          <w:rFonts w:cs="Arial"/>
          <w:szCs w:val="22"/>
        </w:rPr>
        <w:t>Alabama – 9</w:t>
      </w:r>
    </w:p>
    <w:p w14:paraId="2C2891FB" w14:textId="77777777" w:rsidR="00B260C0" w:rsidRPr="00FD2B44" w:rsidRDefault="00B260C0" w:rsidP="00B260C0">
      <w:pPr>
        <w:pStyle w:val="ListParagraph"/>
        <w:numPr>
          <w:ilvl w:val="1"/>
          <w:numId w:val="7"/>
        </w:numPr>
        <w:rPr>
          <w:rFonts w:cs="Arial"/>
          <w:szCs w:val="22"/>
        </w:rPr>
      </w:pPr>
      <w:r>
        <w:rPr>
          <w:rFonts w:cs="Arial"/>
          <w:szCs w:val="22"/>
        </w:rPr>
        <w:t>Georgia – 17</w:t>
      </w:r>
    </w:p>
    <w:p w14:paraId="2B751603" w14:textId="77777777" w:rsidR="00B260C0" w:rsidRPr="00FD2B44" w:rsidRDefault="00B260C0" w:rsidP="00B260C0">
      <w:pPr>
        <w:pStyle w:val="ListParagraph"/>
        <w:numPr>
          <w:ilvl w:val="1"/>
          <w:numId w:val="7"/>
        </w:numPr>
        <w:rPr>
          <w:rFonts w:cs="Arial"/>
          <w:szCs w:val="22"/>
        </w:rPr>
      </w:pPr>
      <w:r>
        <w:rPr>
          <w:rFonts w:cs="Arial"/>
          <w:szCs w:val="22"/>
        </w:rPr>
        <w:t>Mississippi – 24</w:t>
      </w:r>
    </w:p>
    <w:p w14:paraId="45DA4409" w14:textId="77777777" w:rsidR="00B260C0" w:rsidRDefault="00B260C0" w:rsidP="00B260C0">
      <w:pPr>
        <w:pStyle w:val="ListParagraph"/>
        <w:numPr>
          <w:ilvl w:val="1"/>
          <w:numId w:val="7"/>
        </w:numPr>
        <w:rPr>
          <w:rFonts w:cs="Arial"/>
          <w:szCs w:val="22"/>
        </w:rPr>
      </w:pPr>
      <w:r>
        <w:rPr>
          <w:rFonts w:cs="Arial"/>
          <w:szCs w:val="22"/>
        </w:rPr>
        <w:t>South Carolina – 10</w:t>
      </w:r>
    </w:p>
    <w:p w14:paraId="6170EA07" w14:textId="77777777" w:rsidR="00B260C0" w:rsidRDefault="00B260C0" w:rsidP="00B260C0">
      <w:pPr>
        <w:pStyle w:val="ListParagraph"/>
        <w:numPr>
          <w:ilvl w:val="1"/>
          <w:numId w:val="7"/>
        </w:numPr>
        <w:rPr>
          <w:rFonts w:cs="Arial"/>
          <w:szCs w:val="22"/>
        </w:rPr>
      </w:pPr>
      <w:r>
        <w:rPr>
          <w:rFonts w:cs="Arial"/>
          <w:szCs w:val="22"/>
        </w:rPr>
        <w:t>South Dakota – 9</w:t>
      </w:r>
    </w:p>
    <w:p w14:paraId="43CF09CD" w14:textId="77777777" w:rsidR="00B260C0" w:rsidRDefault="00B260C0" w:rsidP="00B260C0">
      <w:pPr>
        <w:pStyle w:val="ListParagraph"/>
        <w:numPr>
          <w:ilvl w:val="1"/>
          <w:numId w:val="7"/>
        </w:numPr>
        <w:rPr>
          <w:rFonts w:cs="Arial"/>
          <w:szCs w:val="22"/>
        </w:rPr>
      </w:pPr>
      <w:r>
        <w:rPr>
          <w:rFonts w:cs="Arial"/>
          <w:szCs w:val="22"/>
        </w:rPr>
        <w:t xml:space="preserve">Texas – 17 </w:t>
      </w:r>
    </w:p>
    <w:p w14:paraId="78B7CF97" w14:textId="77777777" w:rsidR="00B260C0" w:rsidRPr="00C33252" w:rsidRDefault="00B260C0" w:rsidP="00B260C0">
      <w:pPr>
        <w:ind w:left="1080"/>
        <w:rPr>
          <w:rFonts w:cs="Arial"/>
          <w:szCs w:val="22"/>
        </w:rPr>
      </w:pPr>
      <w:r>
        <w:rPr>
          <w:rFonts w:cs="Arial"/>
          <w:szCs w:val="22"/>
        </w:rPr>
        <w:t>(The other counties are in Alaska, Arizona, Arkansas, Colorado, Florida, Louisiana, Montana, Nebraska, New Mexico, North Carolina, North Dakota, Oklahoma)</w:t>
      </w:r>
    </w:p>
    <w:p w14:paraId="3EA3D70E" w14:textId="77777777" w:rsidR="00B260C0" w:rsidRPr="00105E00" w:rsidRDefault="00B260C0" w:rsidP="00B260C0">
      <w:pPr>
        <w:pStyle w:val="ListParagraph"/>
        <w:rPr>
          <w:rFonts w:cs="Arial"/>
          <w:szCs w:val="22"/>
        </w:rPr>
      </w:pPr>
      <w:r>
        <w:rPr>
          <w:rFonts w:cs="Arial"/>
          <w:szCs w:val="22"/>
        </w:rPr>
        <w:t xml:space="preserve"> </w:t>
      </w:r>
    </w:p>
    <w:p w14:paraId="2E7E1006" w14:textId="77777777" w:rsidR="00B260C0" w:rsidRPr="00131790" w:rsidRDefault="00B260C0" w:rsidP="00B260C0">
      <w:pPr>
        <w:pStyle w:val="ListParagraph"/>
        <w:numPr>
          <w:ilvl w:val="0"/>
          <w:numId w:val="7"/>
        </w:numPr>
        <w:rPr>
          <w:rFonts w:cs="Arial"/>
          <w:szCs w:val="22"/>
        </w:rPr>
      </w:pPr>
      <w:r>
        <w:rPr>
          <w:rFonts w:cs="Arial"/>
          <w:szCs w:val="22"/>
        </w:rPr>
        <w:t xml:space="preserve">Assuming a 30% poverty rate for people of color in the 122 counties with persistent poverty and majority-minority populations, these counties contain 510,000 people of color living in poverty. That’s about 12% of all </w:t>
      </w:r>
      <w:r w:rsidRPr="00131790">
        <w:rPr>
          <w:rFonts w:cs="Arial"/>
          <w:szCs w:val="22"/>
        </w:rPr>
        <w:t xml:space="preserve">rural poor people of color living in 6% of all rural counties—a notable concentration. </w:t>
      </w:r>
    </w:p>
    <w:p w14:paraId="35398B26" w14:textId="77777777" w:rsidR="00B260C0" w:rsidRPr="00131790" w:rsidRDefault="00B260C0" w:rsidP="00B260C0">
      <w:pPr>
        <w:rPr>
          <w:rFonts w:cs="Arial"/>
          <w:szCs w:val="22"/>
        </w:rPr>
      </w:pPr>
    </w:p>
    <w:p w14:paraId="7B9C09E4" w14:textId="77777777" w:rsidR="00B260C0" w:rsidRPr="00131790" w:rsidRDefault="00B260C0" w:rsidP="00B260C0">
      <w:pPr>
        <w:pStyle w:val="ListParagraph"/>
        <w:numPr>
          <w:ilvl w:val="0"/>
          <w:numId w:val="7"/>
        </w:numPr>
        <w:rPr>
          <w:rFonts w:cs="Arial"/>
          <w:szCs w:val="22"/>
          <w:u w:val="single"/>
        </w:rPr>
      </w:pPr>
      <w:r w:rsidRPr="00131790">
        <w:rPr>
          <w:rFonts w:cs="Arial"/>
          <w:szCs w:val="22"/>
        </w:rPr>
        <w:t xml:space="preserve">The 24 BIPOC-majority rural counties with the largest populations contain roughly 921,000 BIPOC people. Of these counties, majority BIPOC is Black in 12, Hispanic in 7, Native in 5. Geographically the counties are in 8 states: TX has 5; MS, 5; SC, 4; NC, 3; AZ, 3; NM 2; OK 1; AL 1. </w:t>
      </w:r>
    </w:p>
    <w:p w14:paraId="2C346EE8" w14:textId="77777777" w:rsidR="00B260C0" w:rsidRPr="00131790" w:rsidRDefault="00B260C0" w:rsidP="00B260C0">
      <w:pPr>
        <w:ind w:left="360"/>
        <w:rPr>
          <w:rFonts w:cs="Arial"/>
          <w:szCs w:val="22"/>
        </w:rPr>
      </w:pPr>
    </w:p>
    <w:tbl>
      <w:tblPr>
        <w:tblpPr w:leftFromText="180" w:rightFromText="180" w:vertAnchor="text" w:horzAnchor="page" w:tblpX="1482" w:tblpY="28"/>
        <w:tblW w:w="6385" w:type="dxa"/>
        <w:tblLook w:val="04A0" w:firstRow="1" w:lastRow="0" w:firstColumn="1" w:lastColumn="0" w:noHBand="0" w:noVBand="1"/>
      </w:tblPr>
      <w:tblGrid>
        <w:gridCol w:w="4225"/>
        <w:gridCol w:w="2160"/>
      </w:tblGrid>
      <w:tr w:rsidR="00B260C0" w:rsidRPr="00131790" w14:paraId="31D01E70" w14:textId="77777777" w:rsidTr="002661CD">
        <w:trPr>
          <w:trHeight w:val="305"/>
        </w:trPr>
        <w:tc>
          <w:tcPr>
            <w:tcW w:w="4225" w:type="dxa"/>
            <w:tcBorders>
              <w:top w:val="single" w:sz="4" w:space="0" w:color="AAAAAA"/>
              <w:left w:val="single" w:sz="4" w:space="0" w:color="AAAAAA"/>
              <w:bottom w:val="single" w:sz="4" w:space="0" w:color="AAAAAA"/>
              <w:right w:val="single" w:sz="4" w:space="0" w:color="AAAAAA"/>
            </w:tcBorders>
            <w:shd w:val="clear" w:color="auto" w:fill="auto"/>
            <w:noWrap/>
            <w:vAlign w:val="bottom"/>
          </w:tcPr>
          <w:p w14:paraId="728F9684" w14:textId="77777777" w:rsidR="00B260C0" w:rsidRPr="00131790" w:rsidRDefault="00B260C0" w:rsidP="002661CD">
            <w:pPr>
              <w:jc w:val="center"/>
              <w:rPr>
                <w:rFonts w:cs="Arial"/>
                <w:b/>
                <w:bCs/>
                <w:color w:val="000000"/>
                <w:szCs w:val="22"/>
              </w:rPr>
            </w:pPr>
            <w:r w:rsidRPr="00131790">
              <w:rPr>
                <w:rFonts w:cs="Arial"/>
                <w:b/>
                <w:bCs/>
                <w:color w:val="000000"/>
                <w:szCs w:val="22"/>
              </w:rPr>
              <w:t>County</w:t>
            </w:r>
          </w:p>
        </w:tc>
        <w:tc>
          <w:tcPr>
            <w:tcW w:w="2160" w:type="dxa"/>
            <w:tcBorders>
              <w:top w:val="single" w:sz="4" w:space="0" w:color="AAAAAA"/>
              <w:left w:val="nil"/>
              <w:bottom w:val="single" w:sz="4" w:space="0" w:color="AAAAAA"/>
              <w:right w:val="single" w:sz="4" w:space="0" w:color="AAAAAA"/>
            </w:tcBorders>
            <w:shd w:val="clear" w:color="auto" w:fill="auto"/>
            <w:noWrap/>
            <w:vAlign w:val="bottom"/>
          </w:tcPr>
          <w:p w14:paraId="098E36CC" w14:textId="77777777" w:rsidR="00B260C0" w:rsidRPr="00131790" w:rsidRDefault="00B260C0" w:rsidP="002661CD">
            <w:pPr>
              <w:jc w:val="center"/>
              <w:rPr>
                <w:rFonts w:cs="Arial"/>
                <w:b/>
                <w:bCs/>
                <w:color w:val="000000"/>
                <w:szCs w:val="22"/>
              </w:rPr>
            </w:pPr>
            <w:r w:rsidRPr="00131790">
              <w:rPr>
                <w:rFonts w:cs="Arial"/>
                <w:b/>
                <w:bCs/>
                <w:color w:val="000000"/>
                <w:szCs w:val="22"/>
              </w:rPr>
              <w:t>Total</w:t>
            </w:r>
          </w:p>
          <w:p w14:paraId="2FD8F8DE" w14:textId="77777777" w:rsidR="00B260C0" w:rsidRPr="00131790" w:rsidRDefault="00B260C0" w:rsidP="002661CD">
            <w:pPr>
              <w:jc w:val="center"/>
              <w:rPr>
                <w:rFonts w:cs="Arial"/>
                <w:b/>
                <w:bCs/>
                <w:color w:val="000000"/>
                <w:szCs w:val="22"/>
              </w:rPr>
            </w:pPr>
            <w:r w:rsidRPr="00131790">
              <w:rPr>
                <w:rFonts w:cs="Arial"/>
                <w:b/>
                <w:bCs/>
                <w:color w:val="000000"/>
                <w:szCs w:val="22"/>
              </w:rPr>
              <w:t>Population</w:t>
            </w:r>
          </w:p>
        </w:tc>
      </w:tr>
      <w:tr w:rsidR="00B260C0" w:rsidRPr="00131790" w14:paraId="1C2662F5" w14:textId="77777777" w:rsidTr="002661CD">
        <w:trPr>
          <w:trHeight w:val="305"/>
        </w:trPr>
        <w:tc>
          <w:tcPr>
            <w:tcW w:w="4225" w:type="dxa"/>
            <w:tcBorders>
              <w:top w:val="single" w:sz="4" w:space="0" w:color="AAAAAA"/>
              <w:left w:val="single" w:sz="4" w:space="0" w:color="AAAAAA"/>
              <w:bottom w:val="single" w:sz="4" w:space="0" w:color="AAAAAA"/>
              <w:right w:val="single" w:sz="4" w:space="0" w:color="AAAAAA"/>
            </w:tcBorders>
            <w:shd w:val="clear" w:color="auto" w:fill="auto"/>
            <w:noWrap/>
            <w:vAlign w:val="bottom"/>
            <w:hideMark/>
          </w:tcPr>
          <w:p w14:paraId="182C7499" w14:textId="77777777" w:rsidR="00B260C0" w:rsidRPr="00131790" w:rsidRDefault="00B260C0" w:rsidP="002661CD">
            <w:pPr>
              <w:rPr>
                <w:rFonts w:cs="Arial"/>
                <w:color w:val="000000"/>
                <w:szCs w:val="22"/>
              </w:rPr>
            </w:pPr>
            <w:r w:rsidRPr="00131790">
              <w:rPr>
                <w:rFonts w:cs="Arial"/>
                <w:color w:val="000000"/>
                <w:szCs w:val="22"/>
              </w:rPr>
              <w:t>Robeson County, North Carolina</w:t>
            </w:r>
          </w:p>
        </w:tc>
        <w:tc>
          <w:tcPr>
            <w:tcW w:w="2160" w:type="dxa"/>
            <w:tcBorders>
              <w:top w:val="single" w:sz="4" w:space="0" w:color="AAAAAA"/>
              <w:left w:val="nil"/>
              <w:bottom w:val="single" w:sz="4" w:space="0" w:color="AAAAAA"/>
              <w:right w:val="single" w:sz="4" w:space="0" w:color="AAAAAA"/>
            </w:tcBorders>
            <w:shd w:val="clear" w:color="auto" w:fill="auto"/>
            <w:noWrap/>
            <w:vAlign w:val="bottom"/>
            <w:hideMark/>
          </w:tcPr>
          <w:p w14:paraId="7C81D71D" w14:textId="77777777" w:rsidR="00B260C0" w:rsidRPr="00131790" w:rsidRDefault="00B260C0" w:rsidP="002661CD">
            <w:pPr>
              <w:jc w:val="center"/>
              <w:rPr>
                <w:rFonts w:cs="Arial"/>
                <w:color w:val="000000"/>
                <w:szCs w:val="22"/>
              </w:rPr>
            </w:pPr>
            <w:r w:rsidRPr="00131790">
              <w:rPr>
                <w:rFonts w:cs="Arial"/>
                <w:color w:val="000000"/>
                <w:szCs w:val="22"/>
              </w:rPr>
              <w:t>132596</w:t>
            </w:r>
          </w:p>
        </w:tc>
      </w:tr>
      <w:tr w:rsidR="00B260C0" w:rsidRPr="00131790" w14:paraId="39A062C3" w14:textId="77777777" w:rsidTr="002661CD">
        <w:trPr>
          <w:trHeight w:val="305"/>
        </w:trPr>
        <w:tc>
          <w:tcPr>
            <w:tcW w:w="4225" w:type="dxa"/>
            <w:tcBorders>
              <w:top w:val="nil"/>
              <w:left w:val="single" w:sz="4" w:space="0" w:color="AAAAAA"/>
              <w:bottom w:val="single" w:sz="4" w:space="0" w:color="AAAAAA"/>
              <w:right w:val="single" w:sz="4" w:space="0" w:color="AAAAAA"/>
            </w:tcBorders>
            <w:shd w:val="clear" w:color="auto" w:fill="auto"/>
            <w:noWrap/>
            <w:vAlign w:val="bottom"/>
            <w:hideMark/>
          </w:tcPr>
          <w:p w14:paraId="07AF0861" w14:textId="77777777" w:rsidR="00B260C0" w:rsidRPr="00131790" w:rsidRDefault="00B260C0" w:rsidP="002661CD">
            <w:pPr>
              <w:rPr>
                <w:rFonts w:cs="Arial"/>
                <w:color w:val="000000"/>
                <w:szCs w:val="22"/>
              </w:rPr>
            </w:pPr>
            <w:r w:rsidRPr="00131790">
              <w:rPr>
                <w:rFonts w:cs="Arial"/>
                <w:color w:val="000000"/>
                <w:szCs w:val="22"/>
              </w:rPr>
              <w:t>Navajo County, Arizona</w:t>
            </w:r>
          </w:p>
        </w:tc>
        <w:tc>
          <w:tcPr>
            <w:tcW w:w="2160" w:type="dxa"/>
            <w:tcBorders>
              <w:top w:val="nil"/>
              <w:left w:val="nil"/>
              <w:bottom w:val="single" w:sz="4" w:space="0" w:color="AAAAAA"/>
              <w:right w:val="single" w:sz="4" w:space="0" w:color="AAAAAA"/>
            </w:tcBorders>
            <w:shd w:val="clear" w:color="auto" w:fill="auto"/>
            <w:noWrap/>
            <w:vAlign w:val="bottom"/>
            <w:hideMark/>
          </w:tcPr>
          <w:p w14:paraId="60E12DA1" w14:textId="77777777" w:rsidR="00B260C0" w:rsidRPr="00131790" w:rsidRDefault="00B260C0" w:rsidP="002661CD">
            <w:pPr>
              <w:jc w:val="center"/>
              <w:rPr>
                <w:rFonts w:cs="Arial"/>
                <w:color w:val="000000"/>
                <w:szCs w:val="22"/>
              </w:rPr>
            </w:pPr>
            <w:r w:rsidRPr="00131790">
              <w:rPr>
                <w:rFonts w:cs="Arial"/>
                <w:color w:val="000000"/>
                <w:szCs w:val="22"/>
              </w:rPr>
              <w:t>109270</w:t>
            </w:r>
          </w:p>
        </w:tc>
      </w:tr>
      <w:tr w:rsidR="00B260C0" w:rsidRPr="00131790" w14:paraId="7D0D0602" w14:textId="77777777" w:rsidTr="002661CD">
        <w:trPr>
          <w:trHeight w:val="305"/>
        </w:trPr>
        <w:tc>
          <w:tcPr>
            <w:tcW w:w="4225" w:type="dxa"/>
            <w:tcBorders>
              <w:top w:val="nil"/>
              <w:left w:val="single" w:sz="4" w:space="0" w:color="AAAAAA"/>
              <w:bottom w:val="single" w:sz="4" w:space="0" w:color="AAAAAA"/>
              <w:right w:val="single" w:sz="4" w:space="0" w:color="AAAAAA"/>
            </w:tcBorders>
            <w:shd w:val="clear" w:color="auto" w:fill="auto"/>
            <w:noWrap/>
            <w:vAlign w:val="bottom"/>
            <w:hideMark/>
          </w:tcPr>
          <w:p w14:paraId="58F9B48C" w14:textId="77777777" w:rsidR="00B260C0" w:rsidRPr="00131790" w:rsidRDefault="00B260C0" w:rsidP="002661CD">
            <w:pPr>
              <w:rPr>
                <w:rFonts w:cs="Arial"/>
                <w:color w:val="000000"/>
                <w:szCs w:val="22"/>
              </w:rPr>
            </w:pPr>
            <w:r w:rsidRPr="00131790">
              <w:rPr>
                <w:rFonts w:cs="Arial"/>
                <w:color w:val="000000"/>
                <w:szCs w:val="22"/>
              </w:rPr>
              <w:t>Orangeburg County, South Carolina</w:t>
            </w:r>
          </w:p>
        </w:tc>
        <w:tc>
          <w:tcPr>
            <w:tcW w:w="2160" w:type="dxa"/>
            <w:tcBorders>
              <w:top w:val="nil"/>
              <w:left w:val="nil"/>
              <w:bottom w:val="single" w:sz="4" w:space="0" w:color="AAAAAA"/>
              <w:right w:val="single" w:sz="4" w:space="0" w:color="AAAAAA"/>
            </w:tcBorders>
            <w:shd w:val="clear" w:color="auto" w:fill="auto"/>
            <w:noWrap/>
            <w:vAlign w:val="bottom"/>
            <w:hideMark/>
          </w:tcPr>
          <w:p w14:paraId="7E90334D" w14:textId="77777777" w:rsidR="00B260C0" w:rsidRPr="00131790" w:rsidRDefault="00B260C0" w:rsidP="002661CD">
            <w:pPr>
              <w:jc w:val="center"/>
              <w:rPr>
                <w:rFonts w:cs="Arial"/>
                <w:color w:val="000000"/>
                <w:szCs w:val="22"/>
              </w:rPr>
            </w:pPr>
            <w:r w:rsidRPr="00131790">
              <w:rPr>
                <w:rFonts w:cs="Arial"/>
                <w:color w:val="000000"/>
                <w:szCs w:val="22"/>
              </w:rPr>
              <w:t>87687</w:t>
            </w:r>
          </w:p>
        </w:tc>
      </w:tr>
      <w:tr w:rsidR="00B260C0" w:rsidRPr="00131790" w14:paraId="3215BEFF" w14:textId="77777777" w:rsidTr="002661CD">
        <w:trPr>
          <w:trHeight w:val="305"/>
        </w:trPr>
        <w:tc>
          <w:tcPr>
            <w:tcW w:w="4225" w:type="dxa"/>
            <w:tcBorders>
              <w:top w:val="nil"/>
              <w:left w:val="single" w:sz="4" w:space="0" w:color="AAAAAA"/>
              <w:bottom w:val="single" w:sz="4" w:space="0" w:color="AAAAAA"/>
              <w:right w:val="single" w:sz="4" w:space="0" w:color="AAAAAA"/>
            </w:tcBorders>
            <w:shd w:val="clear" w:color="auto" w:fill="auto"/>
            <w:noWrap/>
            <w:vAlign w:val="bottom"/>
            <w:hideMark/>
          </w:tcPr>
          <w:p w14:paraId="77AC7070" w14:textId="77777777" w:rsidR="00B260C0" w:rsidRPr="00131790" w:rsidRDefault="00B260C0" w:rsidP="002661CD">
            <w:pPr>
              <w:rPr>
                <w:rFonts w:cs="Arial"/>
                <w:color w:val="000000"/>
                <w:szCs w:val="22"/>
              </w:rPr>
            </w:pPr>
            <w:r w:rsidRPr="00131790">
              <w:rPr>
                <w:rFonts w:cs="Arial"/>
                <w:color w:val="000000"/>
                <w:szCs w:val="22"/>
              </w:rPr>
              <w:t>McKinley County, New Mexico</w:t>
            </w:r>
          </w:p>
        </w:tc>
        <w:tc>
          <w:tcPr>
            <w:tcW w:w="2160" w:type="dxa"/>
            <w:tcBorders>
              <w:top w:val="nil"/>
              <w:left w:val="nil"/>
              <w:bottom w:val="single" w:sz="4" w:space="0" w:color="AAAAAA"/>
              <w:right w:val="single" w:sz="4" w:space="0" w:color="AAAAAA"/>
            </w:tcBorders>
            <w:shd w:val="clear" w:color="auto" w:fill="auto"/>
            <w:noWrap/>
            <w:vAlign w:val="bottom"/>
            <w:hideMark/>
          </w:tcPr>
          <w:p w14:paraId="2D626051" w14:textId="77777777" w:rsidR="00B260C0" w:rsidRPr="00131790" w:rsidRDefault="00B260C0" w:rsidP="002661CD">
            <w:pPr>
              <w:jc w:val="center"/>
              <w:rPr>
                <w:rFonts w:cs="Arial"/>
                <w:color w:val="000000"/>
                <w:szCs w:val="22"/>
              </w:rPr>
            </w:pPr>
            <w:r w:rsidRPr="00131790">
              <w:rPr>
                <w:rFonts w:cs="Arial"/>
                <w:color w:val="000000"/>
                <w:szCs w:val="22"/>
              </w:rPr>
              <w:t>72438</w:t>
            </w:r>
          </w:p>
        </w:tc>
      </w:tr>
      <w:tr w:rsidR="00B260C0" w:rsidRPr="00131790" w14:paraId="40151C03" w14:textId="77777777" w:rsidTr="002661CD">
        <w:trPr>
          <w:trHeight w:val="305"/>
        </w:trPr>
        <w:tc>
          <w:tcPr>
            <w:tcW w:w="4225" w:type="dxa"/>
            <w:tcBorders>
              <w:top w:val="nil"/>
              <w:left w:val="single" w:sz="4" w:space="0" w:color="AAAAAA"/>
              <w:bottom w:val="single" w:sz="4" w:space="0" w:color="AAAAAA"/>
              <w:right w:val="single" w:sz="4" w:space="0" w:color="AAAAAA"/>
            </w:tcBorders>
            <w:shd w:val="clear" w:color="auto" w:fill="auto"/>
            <w:noWrap/>
            <w:vAlign w:val="bottom"/>
            <w:hideMark/>
          </w:tcPr>
          <w:p w14:paraId="074CFFA0" w14:textId="77777777" w:rsidR="00B260C0" w:rsidRPr="00131790" w:rsidRDefault="00B260C0" w:rsidP="002661CD">
            <w:pPr>
              <w:rPr>
                <w:rFonts w:cs="Arial"/>
                <w:color w:val="000000"/>
                <w:szCs w:val="22"/>
              </w:rPr>
            </w:pPr>
            <w:r w:rsidRPr="00131790">
              <w:rPr>
                <w:rFonts w:cs="Arial"/>
                <w:color w:val="000000"/>
                <w:szCs w:val="22"/>
              </w:rPr>
              <w:t>Apache County, Arizona</w:t>
            </w:r>
          </w:p>
        </w:tc>
        <w:tc>
          <w:tcPr>
            <w:tcW w:w="2160" w:type="dxa"/>
            <w:tcBorders>
              <w:top w:val="nil"/>
              <w:left w:val="nil"/>
              <w:bottom w:val="single" w:sz="4" w:space="0" w:color="AAAAAA"/>
              <w:right w:val="single" w:sz="4" w:space="0" w:color="AAAAAA"/>
            </w:tcBorders>
            <w:shd w:val="clear" w:color="auto" w:fill="auto"/>
            <w:noWrap/>
            <w:vAlign w:val="bottom"/>
            <w:hideMark/>
          </w:tcPr>
          <w:p w14:paraId="2FF75F70" w14:textId="77777777" w:rsidR="00B260C0" w:rsidRPr="00131790" w:rsidRDefault="00B260C0" w:rsidP="002661CD">
            <w:pPr>
              <w:jc w:val="center"/>
              <w:rPr>
                <w:rFonts w:cs="Arial"/>
                <w:color w:val="000000"/>
                <w:szCs w:val="22"/>
              </w:rPr>
            </w:pPr>
            <w:r w:rsidRPr="00131790">
              <w:rPr>
                <w:rFonts w:cs="Arial"/>
                <w:color w:val="000000"/>
                <w:szCs w:val="22"/>
              </w:rPr>
              <w:t>71511</w:t>
            </w:r>
          </w:p>
        </w:tc>
      </w:tr>
      <w:tr w:rsidR="00B260C0" w:rsidRPr="00131790" w14:paraId="3B51A57C" w14:textId="77777777" w:rsidTr="002661CD">
        <w:trPr>
          <w:trHeight w:val="305"/>
        </w:trPr>
        <w:tc>
          <w:tcPr>
            <w:tcW w:w="4225" w:type="dxa"/>
            <w:tcBorders>
              <w:top w:val="nil"/>
              <w:left w:val="single" w:sz="4" w:space="0" w:color="AAAAAA"/>
              <w:bottom w:val="single" w:sz="4" w:space="0" w:color="AAAAAA"/>
              <w:right w:val="single" w:sz="4" w:space="0" w:color="AAAAAA"/>
            </w:tcBorders>
            <w:shd w:val="clear" w:color="auto" w:fill="auto"/>
            <w:noWrap/>
            <w:vAlign w:val="bottom"/>
            <w:hideMark/>
          </w:tcPr>
          <w:p w14:paraId="04E06E25" w14:textId="77777777" w:rsidR="00B260C0" w:rsidRPr="00131790" w:rsidRDefault="00B260C0" w:rsidP="002661CD">
            <w:pPr>
              <w:rPr>
                <w:rFonts w:cs="Arial"/>
                <w:color w:val="000000"/>
                <w:szCs w:val="22"/>
              </w:rPr>
            </w:pPr>
            <w:r w:rsidRPr="00131790">
              <w:rPr>
                <w:rFonts w:cs="Arial"/>
                <w:color w:val="000000"/>
                <w:szCs w:val="22"/>
              </w:rPr>
              <w:t>Starr County, Texas</w:t>
            </w:r>
          </w:p>
        </w:tc>
        <w:tc>
          <w:tcPr>
            <w:tcW w:w="2160" w:type="dxa"/>
            <w:tcBorders>
              <w:top w:val="nil"/>
              <w:left w:val="nil"/>
              <w:bottom w:val="single" w:sz="4" w:space="0" w:color="AAAAAA"/>
              <w:right w:val="single" w:sz="4" w:space="0" w:color="AAAAAA"/>
            </w:tcBorders>
            <w:shd w:val="clear" w:color="auto" w:fill="auto"/>
            <w:noWrap/>
            <w:vAlign w:val="bottom"/>
            <w:hideMark/>
          </w:tcPr>
          <w:p w14:paraId="30EE26C2" w14:textId="77777777" w:rsidR="00B260C0" w:rsidRPr="00131790" w:rsidRDefault="00B260C0" w:rsidP="002661CD">
            <w:pPr>
              <w:jc w:val="center"/>
              <w:rPr>
                <w:rFonts w:cs="Arial"/>
                <w:color w:val="000000"/>
                <w:szCs w:val="22"/>
              </w:rPr>
            </w:pPr>
            <w:r w:rsidRPr="00131790">
              <w:rPr>
                <w:rFonts w:cs="Arial"/>
                <w:color w:val="000000"/>
                <w:szCs w:val="22"/>
              </w:rPr>
              <w:t>64078</w:t>
            </w:r>
          </w:p>
        </w:tc>
      </w:tr>
      <w:tr w:rsidR="00B260C0" w:rsidRPr="00131790" w14:paraId="20390ED1" w14:textId="77777777" w:rsidTr="002661CD">
        <w:trPr>
          <w:trHeight w:val="305"/>
        </w:trPr>
        <w:tc>
          <w:tcPr>
            <w:tcW w:w="4225" w:type="dxa"/>
            <w:tcBorders>
              <w:top w:val="nil"/>
              <w:left w:val="single" w:sz="4" w:space="0" w:color="AAAAAA"/>
              <w:bottom w:val="single" w:sz="4" w:space="0" w:color="AAAAAA"/>
              <w:right w:val="single" w:sz="4" w:space="0" w:color="AAAAAA"/>
            </w:tcBorders>
            <w:shd w:val="clear" w:color="auto" w:fill="auto"/>
            <w:noWrap/>
            <w:vAlign w:val="bottom"/>
            <w:hideMark/>
          </w:tcPr>
          <w:p w14:paraId="46466B0D" w14:textId="77777777" w:rsidR="00B260C0" w:rsidRPr="00131790" w:rsidRDefault="00B260C0" w:rsidP="002661CD">
            <w:pPr>
              <w:rPr>
                <w:rFonts w:cs="Arial"/>
                <w:color w:val="000000"/>
                <w:szCs w:val="22"/>
              </w:rPr>
            </w:pPr>
            <w:r w:rsidRPr="00131790">
              <w:rPr>
                <w:rFonts w:cs="Arial"/>
                <w:color w:val="000000"/>
                <w:szCs w:val="22"/>
              </w:rPr>
              <w:t>Maverick County, Texas</w:t>
            </w:r>
          </w:p>
        </w:tc>
        <w:tc>
          <w:tcPr>
            <w:tcW w:w="2160" w:type="dxa"/>
            <w:tcBorders>
              <w:top w:val="nil"/>
              <w:left w:val="nil"/>
              <w:bottom w:val="single" w:sz="4" w:space="0" w:color="AAAAAA"/>
              <w:right w:val="single" w:sz="4" w:space="0" w:color="AAAAAA"/>
            </w:tcBorders>
            <w:shd w:val="clear" w:color="auto" w:fill="auto"/>
            <w:noWrap/>
            <w:vAlign w:val="bottom"/>
            <w:hideMark/>
          </w:tcPr>
          <w:p w14:paraId="1685A5DF" w14:textId="77777777" w:rsidR="00B260C0" w:rsidRPr="00131790" w:rsidRDefault="00B260C0" w:rsidP="002661CD">
            <w:pPr>
              <w:jc w:val="center"/>
              <w:rPr>
                <w:rFonts w:cs="Arial"/>
                <w:color w:val="000000"/>
                <w:szCs w:val="22"/>
              </w:rPr>
            </w:pPr>
            <w:r w:rsidRPr="00131790">
              <w:rPr>
                <w:rFonts w:cs="Arial"/>
                <w:color w:val="000000"/>
                <w:szCs w:val="22"/>
              </w:rPr>
              <w:t>58174</w:t>
            </w:r>
          </w:p>
        </w:tc>
      </w:tr>
      <w:tr w:rsidR="00B260C0" w:rsidRPr="00131790" w14:paraId="0DBC5F38" w14:textId="77777777" w:rsidTr="002661CD">
        <w:trPr>
          <w:trHeight w:val="305"/>
        </w:trPr>
        <w:tc>
          <w:tcPr>
            <w:tcW w:w="4225" w:type="dxa"/>
            <w:tcBorders>
              <w:top w:val="nil"/>
              <w:left w:val="single" w:sz="4" w:space="0" w:color="AAAAAA"/>
              <w:bottom w:val="single" w:sz="4" w:space="0" w:color="AAAAAA"/>
              <w:right w:val="single" w:sz="4" w:space="0" w:color="AAAAAA"/>
            </w:tcBorders>
            <w:shd w:val="clear" w:color="auto" w:fill="auto"/>
            <w:noWrap/>
            <w:vAlign w:val="bottom"/>
            <w:hideMark/>
          </w:tcPr>
          <w:p w14:paraId="47FA213F" w14:textId="77777777" w:rsidR="00B260C0" w:rsidRPr="00131790" w:rsidRDefault="00B260C0" w:rsidP="002661CD">
            <w:pPr>
              <w:rPr>
                <w:rFonts w:cs="Arial"/>
                <w:color w:val="000000"/>
                <w:szCs w:val="22"/>
              </w:rPr>
            </w:pPr>
            <w:r w:rsidRPr="00131790">
              <w:rPr>
                <w:rFonts w:cs="Arial"/>
                <w:color w:val="000000"/>
                <w:szCs w:val="22"/>
              </w:rPr>
              <w:t>Halifax County, North Carolina</w:t>
            </w:r>
          </w:p>
        </w:tc>
        <w:tc>
          <w:tcPr>
            <w:tcW w:w="2160" w:type="dxa"/>
            <w:tcBorders>
              <w:top w:val="nil"/>
              <w:left w:val="nil"/>
              <w:bottom w:val="single" w:sz="4" w:space="0" w:color="AAAAAA"/>
              <w:right w:val="single" w:sz="4" w:space="0" w:color="AAAAAA"/>
            </w:tcBorders>
            <w:shd w:val="clear" w:color="auto" w:fill="auto"/>
            <w:noWrap/>
            <w:vAlign w:val="bottom"/>
            <w:hideMark/>
          </w:tcPr>
          <w:p w14:paraId="61DA4600" w14:textId="77777777" w:rsidR="00B260C0" w:rsidRPr="00131790" w:rsidRDefault="00B260C0" w:rsidP="002661CD">
            <w:pPr>
              <w:jc w:val="center"/>
              <w:rPr>
                <w:rFonts w:cs="Arial"/>
                <w:color w:val="000000"/>
                <w:szCs w:val="22"/>
              </w:rPr>
            </w:pPr>
            <w:r w:rsidRPr="00131790">
              <w:rPr>
                <w:rFonts w:cs="Arial"/>
                <w:color w:val="000000"/>
                <w:szCs w:val="22"/>
              </w:rPr>
              <w:t>51190</w:t>
            </w:r>
          </w:p>
        </w:tc>
      </w:tr>
      <w:tr w:rsidR="00B260C0" w:rsidRPr="00131790" w14:paraId="02315A11" w14:textId="77777777" w:rsidTr="002661CD">
        <w:trPr>
          <w:trHeight w:val="305"/>
        </w:trPr>
        <w:tc>
          <w:tcPr>
            <w:tcW w:w="4225" w:type="dxa"/>
            <w:tcBorders>
              <w:top w:val="nil"/>
              <w:left w:val="single" w:sz="4" w:space="0" w:color="AAAAAA"/>
              <w:bottom w:val="single" w:sz="4" w:space="0" w:color="AAAAAA"/>
              <w:right w:val="single" w:sz="4" w:space="0" w:color="AAAAAA"/>
            </w:tcBorders>
            <w:shd w:val="clear" w:color="auto" w:fill="auto"/>
            <w:noWrap/>
            <w:vAlign w:val="bottom"/>
            <w:hideMark/>
          </w:tcPr>
          <w:p w14:paraId="0E9DAC6E" w14:textId="77777777" w:rsidR="00B260C0" w:rsidRPr="00131790" w:rsidRDefault="00B260C0" w:rsidP="002661CD">
            <w:pPr>
              <w:rPr>
                <w:rFonts w:cs="Arial"/>
                <w:color w:val="000000"/>
                <w:szCs w:val="22"/>
              </w:rPr>
            </w:pPr>
            <w:r w:rsidRPr="00131790">
              <w:rPr>
                <w:rFonts w:cs="Arial"/>
                <w:color w:val="000000"/>
                <w:szCs w:val="22"/>
              </w:rPr>
              <w:t>Val Verde County, Texas</w:t>
            </w:r>
          </w:p>
        </w:tc>
        <w:tc>
          <w:tcPr>
            <w:tcW w:w="2160" w:type="dxa"/>
            <w:tcBorders>
              <w:top w:val="nil"/>
              <w:left w:val="nil"/>
              <w:bottom w:val="single" w:sz="4" w:space="0" w:color="AAAAAA"/>
              <w:right w:val="single" w:sz="4" w:space="0" w:color="AAAAAA"/>
            </w:tcBorders>
            <w:shd w:val="clear" w:color="auto" w:fill="auto"/>
            <w:noWrap/>
            <w:vAlign w:val="bottom"/>
            <w:hideMark/>
          </w:tcPr>
          <w:p w14:paraId="51ECBD92" w14:textId="77777777" w:rsidR="00B260C0" w:rsidRPr="00131790" w:rsidRDefault="00B260C0" w:rsidP="002661CD">
            <w:pPr>
              <w:jc w:val="center"/>
              <w:rPr>
                <w:rFonts w:cs="Arial"/>
                <w:color w:val="000000"/>
                <w:szCs w:val="22"/>
              </w:rPr>
            </w:pPr>
            <w:r w:rsidRPr="00131790">
              <w:rPr>
                <w:rFonts w:cs="Arial"/>
                <w:color w:val="000000"/>
                <w:szCs w:val="22"/>
              </w:rPr>
              <w:t>48969</w:t>
            </w:r>
          </w:p>
        </w:tc>
      </w:tr>
      <w:tr w:rsidR="00B260C0" w:rsidRPr="00131790" w14:paraId="25920370" w14:textId="77777777" w:rsidTr="002661CD">
        <w:trPr>
          <w:trHeight w:val="305"/>
        </w:trPr>
        <w:tc>
          <w:tcPr>
            <w:tcW w:w="4225" w:type="dxa"/>
            <w:tcBorders>
              <w:top w:val="nil"/>
              <w:left w:val="single" w:sz="4" w:space="0" w:color="AAAAAA"/>
              <w:bottom w:val="single" w:sz="4" w:space="0" w:color="AAAAAA"/>
              <w:right w:val="single" w:sz="4" w:space="0" w:color="AAAAAA"/>
            </w:tcBorders>
            <w:shd w:val="clear" w:color="auto" w:fill="auto"/>
            <w:noWrap/>
            <w:vAlign w:val="bottom"/>
            <w:hideMark/>
          </w:tcPr>
          <w:p w14:paraId="3A58F15A" w14:textId="77777777" w:rsidR="00B260C0" w:rsidRPr="00131790" w:rsidRDefault="00B260C0" w:rsidP="002661CD">
            <w:pPr>
              <w:rPr>
                <w:rFonts w:cs="Arial"/>
                <w:color w:val="000000"/>
                <w:szCs w:val="22"/>
              </w:rPr>
            </w:pPr>
            <w:r w:rsidRPr="00131790">
              <w:rPr>
                <w:rFonts w:cs="Arial"/>
                <w:color w:val="000000"/>
                <w:szCs w:val="22"/>
              </w:rPr>
              <w:t>Cherokee County, Oklahoma</w:t>
            </w:r>
          </w:p>
        </w:tc>
        <w:tc>
          <w:tcPr>
            <w:tcW w:w="2160" w:type="dxa"/>
            <w:tcBorders>
              <w:top w:val="nil"/>
              <w:left w:val="nil"/>
              <w:bottom w:val="single" w:sz="4" w:space="0" w:color="AAAAAA"/>
              <w:right w:val="single" w:sz="4" w:space="0" w:color="AAAAAA"/>
            </w:tcBorders>
            <w:shd w:val="clear" w:color="auto" w:fill="auto"/>
            <w:noWrap/>
            <w:vAlign w:val="bottom"/>
            <w:hideMark/>
          </w:tcPr>
          <w:p w14:paraId="012FE5DD" w14:textId="77777777" w:rsidR="00B260C0" w:rsidRPr="00131790" w:rsidRDefault="00B260C0" w:rsidP="002661CD">
            <w:pPr>
              <w:jc w:val="center"/>
              <w:rPr>
                <w:rFonts w:cs="Arial"/>
                <w:color w:val="000000"/>
                <w:szCs w:val="22"/>
              </w:rPr>
            </w:pPr>
            <w:r w:rsidRPr="00131790">
              <w:rPr>
                <w:rFonts w:cs="Arial"/>
                <w:color w:val="000000"/>
                <w:szCs w:val="22"/>
              </w:rPr>
              <w:t>48664</w:t>
            </w:r>
          </w:p>
        </w:tc>
      </w:tr>
      <w:tr w:rsidR="00B260C0" w:rsidRPr="00131790" w14:paraId="2E50AF6C" w14:textId="77777777" w:rsidTr="002661CD">
        <w:trPr>
          <w:trHeight w:val="305"/>
        </w:trPr>
        <w:tc>
          <w:tcPr>
            <w:tcW w:w="4225" w:type="dxa"/>
            <w:tcBorders>
              <w:top w:val="nil"/>
              <w:left w:val="single" w:sz="4" w:space="0" w:color="AAAAAA"/>
              <w:bottom w:val="single" w:sz="4" w:space="0" w:color="AAAAAA"/>
              <w:right w:val="single" w:sz="4" w:space="0" w:color="AAAAAA"/>
            </w:tcBorders>
            <w:shd w:val="clear" w:color="auto" w:fill="auto"/>
            <w:noWrap/>
            <w:vAlign w:val="bottom"/>
            <w:hideMark/>
          </w:tcPr>
          <w:p w14:paraId="6D9AA359" w14:textId="77777777" w:rsidR="00B260C0" w:rsidRPr="00131790" w:rsidRDefault="00B260C0" w:rsidP="002661CD">
            <w:pPr>
              <w:rPr>
                <w:rFonts w:cs="Arial"/>
                <w:color w:val="000000"/>
                <w:szCs w:val="22"/>
              </w:rPr>
            </w:pPr>
            <w:r w:rsidRPr="00131790">
              <w:rPr>
                <w:rFonts w:cs="Arial"/>
                <w:color w:val="000000"/>
                <w:szCs w:val="22"/>
              </w:rPr>
              <w:t>Santa Cruz County, Arizona</w:t>
            </w:r>
          </w:p>
        </w:tc>
        <w:tc>
          <w:tcPr>
            <w:tcW w:w="2160" w:type="dxa"/>
            <w:tcBorders>
              <w:top w:val="nil"/>
              <w:left w:val="nil"/>
              <w:bottom w:val="single" w:sz="4" w:space="0" w:color="AAAAAA"/>
              <w:right w:val="single" w:sz="4" w:space="0" w:color="AAAAAA"/>
            </w:tcBorders>
            <w:shd w:val="clear" w:color="auto" w:fill="auto"/>
            <w:noWrap/>
            <w:vAlign w:val="bottom"/>
            <w:hideMark/>
          </w:tcPr>
          <w:p w14:paraId="6079737F" w14:textId="77777777" w:rsidR="00B260C0" w:rsidRPr="00131790" w:rsidRDefault="00B260C0" w:rsidP="002661CD">
            <w:pPr>
              <w:jc w:val="center"/>
              <w:rPr>
                <w:rFonts w:cs="Arial"/>
                <w:color w:val="000000"/>
                <w:szCs w:val="22"/>
              </w:rPr>
            </w:pPr>
            <w:r w:rsidRPr="00131790">
              <w:rPr>
                <w:rFonts w:cs="Arial"/>
                <w:color w:val="000000"/>
                <w:szCs w:val="22"/>
              </w:rPr>
              <w:t>46480</w:t>
            </w:r>
          </w:p>
        </w:tc>
      </w:tr>
      <w:tr w:rsidR="00B260C0" w:rsidRPr="00131790" w14:paraId="5B74C9EB" w14:textId="77777777" w:rsidTr="002661CD">
        <w:trPr>
          <w:trHeight w:val="305"/>
        </w:trPr>
        <w:tc>
          <w:tcPr>
            <w:tcW w:w="4225" w:type="dxa"/>
            <w:tcBorders>
              <w:top w:val="nil"/>
              <w:left w:val="single" w:sz="4" w:space="0" w:color="AAAAAA"/>
              <w:bottom w:val="single" w:sz="4" w:space="0" w:color="AAAAAA"/>
              <w:right w:val="single" w:sz="4" w:space="0" w:color="AAAAAA"/>
            </w:tcBorders>
            <w:shd w:val="clear" w:color="auto" w:fill="auto"/>
            <w:noWrap/>
            <w:vAlign w:val="bottom"/>
            <w:hideMark/>
          </w:tcPr>
          <w:p w14:paraId="6866855E" w14:textId="77777777" w:rsidR="00B260C0" w:rsidRPr="00131790" w:rsidRDefault="00B260C0" w:rsidP="002661CD">
            <w:pPr>
              <w:rPr>
                <w:rFonts w:cs="Arial"/>
                <w:color w:val="000000"/>
                <w:szCs w:val="22"/>
              </w:rPr>
            </w:pPr>
            <w:r w:rsidRPr="00131790">
              <w:rPr>
                <w:rFonts w:cs="Arial"/>
                <w:color w:val="000000"/>
                <w:szCs w:val="22"/>
              </w:rPr>
              <w:t>Washington County, Mississippi</w:t>
            </w:r>
          </w:p>
        </w:tc>
        <w:tc>
          <w:tcPr>
            <w:tcW w:w="2160" w:type="dxa"/>
            <w:tcBorders>
              <w:top w:val="nil"/>
              <w:left w:val="nil"/>
              <w:bottom w:val="single" w:sz="4" w:space="0" w:color="AAAAAA"/>
              <w:right w:val="single" w:sz="4" w:space="0" w:color="AAAAAA"/>
            </w:tcBorders>
            <w:shd w:val="clear" w:color="auto" w:fill="auto"/>
            <w:noWrap/>
            <w:vAlign w:val="bottom"/>
            <w:hideMark/>
          </w:tcPr>
          <w:p w14:paraId="40175DC3" w14:textId="77777777" w:rsidR="00B260C0" w:rsidRPr="00131790" w:rsidRDefault="00B260C0" w:rsidP="002661CD">
            <w:pPr>
              <w:jc w:val="center"/>
              <w:rPr>
                <w:rFonts w:cs="Arial"/>
                <w:color w:val="000000"/>
                <w:szCs w:val="22"/>
              </w:rPr>
            </w:pPr>
            <w:r w:rsidRPr="00131790">
              <w:rPr>
                <w:rFonts w:cs="Arial"/>
                <w:color w:val="000000"/>
                <w:szCs w:val="22"/>
              </w:rPr>
              <w:t>46057</w:t>
            </w:r>
          </w:p>
        </w:tc>
      </w:tr>
      <w:tr w:rsidR="00B260C0" w:rsidRPr="00131790" w14:paraId="15D935F2" w14:textId="77777777" w:rsidTr="002661CD">
        <w:trPr>
          <w:trHeight w:val="305"/>
        </w:trPr>
        <w:tc>
          <w:tcPr>
            <w:tcW w:w="4225" w:type="dxa"/>
            <w:tcBorders>
              <w:top w:val="nil"/>
              <w:left w:val="single" w:sz="4" w:space="0" w:color="AAAAAA"/>
              <w:bottom w:val="single" w:sz="4" w:space="0" w:color="AAAAAA"/>
              <w:right w:val="single" w:sz="4" w:space="0" w:color="AAAAAA"/>
            </w:tcBorders>
            <w:shd w:val="clear" w:color="auto" w:fill="auto"/>
            <w:noWrap/>
            <w:vAlign w:val="bottom"/>
            <w:hideMark/>
          </w:tcPr>
          <w:p w14:paraId="2A733289" w14:textId="77777777" w:rsidR="00B260C0" w:rsidRPr="00131790" w:rsidRDefault="00B260C0" w:rsidP="002661CD">
            <w:pPr>
              <w:rPr>
                <w:rFonts w:cs="Arial"/>
                <w:color w:val="000000"/>
                <w:szCs w:val="22"/>
              </w:rPr>
            </w:pPr>
            <w:r w:rsidRPr="00131790">
              <w:rPr>
                <w:rFonts w:cs="Arial"/>
                <w:color w:val="000000"/>
                <w:szCs w:val="22"/>
              </w:rPr>
              <w:t>Vance County, North Carolina</w:t>
            </w:r>
          </w:p>
        </w:tc>
        <w:tc>
          <w:tcPr>
            <w:tcW w:w="2160" w:type="dxa"/>
            <w:tcBorders>
              <w:top w:val="nil"/>
              <w:left w:val="nil"/>
              <w:bottom w:val="single" w:sz="4" w:space="0" w:color="AAAAAA"/>
              <w:right w:val="single" w:sz="4" w:space="0" w:color="AAAAAA"/>
            </w:tcBorders>
            <w:shd w:val="clear" w:color="auto" w:fill="auto"/>
            <w:noWrap/>
            <w:vAlign w:val="bottom"/>
            <w:hideMark/>
          </w:tcPr>
          <w:p w14:paraId="20667668" w14:textId="77777777" w:rsidR="00B260C0" w:rsidRPr="00131790" w:rsidRDefault="00B260C0" w:rsidP="002661CD">
            <w:pPr>
              <w:jc w:val="center"/>
              <w:rPr>
                <w:rFonts w:cs="Arial"/>
                <w:color w:val="000000"/>
                <w:szCs w:val="22"/>
              </w:rPr>
            </w:pPr>
            <w:r w:rsidRPr="00131790">
              <w:rPr>
                <w:rFonts w:cs="Arial"/>
                <w:color w:val="000000"/>
                <w:szCs w:val="22"/>
              </w:rPr>
              <w:t>44479</w:t>
            </w:r>
          </w:p>
        </w:tc>
      </w:tr>
      <w:tr w:rsidR="00B260C0" w:rsidRPr="00131790" w14:paraId="63E9F7A1" w14:textId="77777777" w:rsidTr="002661CD">
        <w:trPr>
          <w:trHeight w:val="305"/>
        </w:trPr>
        <w:tc>
          <w:tcPr>
            <w:tcW w:w="4225" w:type="dxa"/>
            <w:tcBorders>
              <w:top w:val="nil"/>
              <w:left w:val="single" w:sz="4" w:space="0" w:color="AAAAAA"/>
              <w:bottom w:val="single" w:sz="4" w:space="0" w:color="AAAAAA"/>
              <w:right w:val="single" w:sz="4" w:space="0" w:color="AAAAAA"/>
            </w:tcBorders>
            <w:shd w:val="clear" w:color="auto" w:fill="auto"/>
            <w:noWrap/>
            <w:vAlign w:val="bottom"/>
            <w:hideMark/>
          </w:tcPr>
          <w:p w14:paraId="48F7474D" w14:textId="77777777" w:rsidR="00B260C0" w:rsidRPr="00131790" w:rsidRDefault="00B260C0" w:rsidP="002661CD">
            <w:pPr>
              <w:rPr>
                <w:rFonts w:cs="Arial"/>
                <w:color w:val="000000"/>
                <w:szCs w:val="22"/>
              </w:rPr>
            </w:pPr>
            <w:r w:rsidRPr="00131790">
              <w:rPr>
                <w:rFonts w:cs="Arial"/>
                <w:color w:val="000000"/>
                <w:szCs w:val="22"/>
              </w:rPr>
              <w:t>Jim Wells County, Texas</w:t>
            </w:r>
          </w:p>
        </w:tc>
        <w:tc>
          <w:tcPr>
            <w:tcW w:w="2160" w:type="dxa"/>
            <w:tcBorders>
              <w:top w:val="nil"/>
              <w:left w:val="nil"/>
              <w:bottom w:val="single" w:sz="4" w:space="0" w:color="AAAAAA"/>
              <w:right w:val="single" w:sz="4" w:space="0" w:color="AAAAAA"/>
            </w:tcBorders>
            <w:shd w:val="clear" w:color="auto" w:fill="auto"/>
            <w:noWrap/>
            <w:vAlign w:val="bottom"/>
            <w:hideMark/>
          </w:tcPr>
          <w:p w14:paraId="51772C43" w14:textId="77777777" w:rsidR="00B260C0" w:rsidRPr="00131790" w:rsidRDefault="00B260C0" w:rsidP="002661CD">
            <w:pPr>
              <w:jc w:val="center"/>
              <w:rPr>
                <w:rFonts w:cs="Arial"/>
                <w:color w:val="000000"/>
                <w:szCs w:val="22"/>
              </w:rPr>
            </w:pPr>
            <w:r w:rsidRPr="00131790">
              <w:rPr>
                <w:rFonts w:cs="Arial"/>
                <w:color w:val="000000"/>
                <w:szCs w:val="22"/>
              </w:rPr>
              <w:t>40972</w:t>
            </w:r>
          </w:p>
        </w:tc>
      </w:tr>
      <w:tr w:rsidR="00B260C0" w:rsidRPr="00131790" w14:paraId="771A9BF6" w14:textId="77777777" w:rsidTr="002661CD">
        <w:trPr>
          <w:trHeight w:val="305"/>
        </w:trPr>
        <w:tc>
          <w:tcPr>
            <w:tcW w:w="4225" w:type="dxa"/>
            <w:tcBorders>
              <w:top w:val="nil"/>
              <w:left w:val="single" w:sz="4" w:space="0" w:color="AAAAAA"/>
              <w:bottom w:val="single" w:sz="4" w:space="0" w:color="AAAAAA"/>
              <w:right w:val="single" w:sz="4" w:space="0" w:color="AAAAAA"/>
            </w:tcBorders>
            <w:shd w:val="clear" w:color="auto" w:fill="auto"/>
            <w:noWrap/>
            <w:vAlign w:val="bottom"/>
            <w:hideMark/>
          </w:tcPr>
          <w:p w14:paraId="21CDCDE8" w14:textId="77777777" w:rsidR="00B260C0" w:rsidRPr="00131790" w:rsidRDefault="00B260C0" w:rsidP="002661CD">
            <w:pPr>
              <w:rPr>
                <w:rFonts w:cs="Arial"/>
                <w:color w:val="000000"/>
                <w:szCs w:val="22"/>
              </w:rPr>
            </w:pPr>
            <w:r w:rsidRPr="00131790">
              <w:rPr>
                <w:rFonts w:cs="Arial"/>
                <w:color w:val="000000"/>
                <w:szCs w:val="22"/>
              </w:rPr>
              <w:t>Pike County, Mississippi</w:t>
            </w:r>
          </w:p>
        </w:tc>
        <w:tc>
          <w:tcPr>
            <w:tcW w:w="2160" w:type="dxa"/>
            <w:tcBorders>
              <w:top w:val="nil"/>
              <w:left w:val="nil"/>
              <w:bottom w:val="single" w:sz="4" w:space="0" w:color="AAAAAA"/>
              <w:right w:val="single" w:sz="4" w:space="0" w:color="AAAAAA"/>
            </w:tcBorders>
            <w:shd w:val="clear" w:color="auto" w:fill="auto"/>
            <w:noWrap/>
            <w:vAlign w:val="bottom"/>
            <w:hideMark/>
          </w:tcPr>
          <w:p w14:paraId="6F60FEC4" w14:textId="77777777" w:rsidR="00B260C0" w:rsidRPr="00131790" w:rsidRDefault="00B260C0" w:rsidP="002661CD">
            <w:pPr>
              <w:jc w:val="center"/>
              <w:rPr>
                <w:rFonts w:cs="Arial"/>
                <w:color w:val="000000"/>
                <w:szCs w:val="22"/>
              </w:rPr>
            </w:pPr>
            <w:r w:rsidRPr="00131790">
              <w:rPr>
                <w:rFonts w:cs="Arial"/>
                <w:color w:val="000000"/>
                <w:szCs w:val="22"/>
              </w:rPr>
              <w:t>39532</w:t>
            </w:r>
          </w:p>
        </w:tc>
      </w:tr>
      <w:tr w:rsidR="00B260C0" w:rsidRPr="00131790" w14:paraId="7E5D86D7" w14:textId="77777777" w:rsidTr="002661CD">
        <w:trPr>
          <w:trHeight w:val="305"/>
        </w:trPr>
        <w:tc>
          <w:tcPr>
            <w:tcW w:w="4225" w:type="dxa"/>
            <w:tcBorders>
              <w:top w:val="nil"/>
              <w:left w:val="single" w:sz="4" w:space="0" w:color="AAAAAA"/>
              <w:bottom w:val="single" w:sz="4" w:space="0" w:color="AAAAAA"/>
              <w:right w:val="single" w:sz="4" w:space="0" w:color="AAAAAA"/>
            </w:tcBorders>
            <w:shd w:val="clear" w:color="auto" w:fill="auto"/>
            <w:noWrap/>
            <w:vAlign w:val="bottom"/>
            <w:hideMark/>
          </w:tcPr>
          <w:p w14:paraId="52DE28D2" w14:textId="77777777" w:rsidR="00B260C0" w:rsidRPr="00131790" w:rsidRDefault="00B260C0" w:rsidP="002661CD">
            <w:pPr>
              <w:rPr>
                <w:rFonts w:cs="Arial"/>
                <w:color w:val="000000"/>
                <w:szCs w:val="22"/>
              </w:rPr>
            </w:pPr>
            <w:r w:rsidRPr="00131790">
              <w:rPr>
                <w:rFonts w:cs="Arial"/>
                <w:color w:val="000000"/>
                <w:szCs w:val="22"/>
              </w:rPr>
              <w:t>Rio Arriba County, New Mexico</w:t>
            </w:r>
          </w:p>
        </w:tc>
        <w:tc>
          <w:tcPr>
            <w:tcW w:w="2160" w:type="dxa"/>
            <w:tcBorders>
              <w:top w:val="nil"/>
              <w:left w:val="nil"/>
              <w:bottom w:val="single" w:sz="4" w:space="0" w:color="AAAAAA"/>
              <w:right w:val="single" w:sz="4" w:space="0" w:color="AAAAAA"/>
            </w:tcBorders>
            <w:shd w:val="clear" w:color="auto" w:fill="auto"/>
            <w:noWrap/>
            <w:vAlign w:val="bottom"/>
            <w:hideMark/>
          </w:tcPr>
          <w:p w14:paraId="2FD0F541" w14:textId="77777777" w:rsidR="00B260C0" w:rsidRPr="00131790" w:rsidRDefault="00B260C0" w:rsidP="002661CD">
            <w:pPr>
              <w:jc w:val="center"/>
              <w:rPr>
                <w:rFonts w:cs="Arial"/>
                <w:color w:val="000000"/>
                <w:szCs w:val="22"/>
              </w:rPr>
            </w:pPr>
            <w:r w:rsidRPr="00131790">
              <w:rPr>
                <w:rFonts w:cs="Arial"/>
                <w:color w:val="000000"/>
                <w:szCs w:val="22"/>
              </w:rPr>
              <w:t>39159</w:t>
            </w:r>
          </w:p>
        </w:tc>
      </w:tr>
      <w:tr w:rsidR="00B260C0" w:rsidRPr="00131790" w14:paraId="7DAD1615" w14:textId="77777777" w:rsidTr="002661CD">
        <w:trPr>
          <w:trHeight w:val="305"/>
        </w:trPr>
        <w:tc>
          <w:tcPr>
            <w:tcW w:w="4225" w:type="dxa"/>
            <w:tcBorders>
              <w:top w:val="nil"/>
              <w:left w:val="single" w:sz="4" w:space="0" w:color="AAAAAA"/>
              <w:bottom w:val="single" w:sz="4" w:space="0" w:color="AAAAAA"/>
              <w:right w:val="single" w:sz="4" w:space="0" w:color="AAAAAA"/>
            </w:tcBorders>
            <w:shd w:val="clear" w:color="auto" w:fill="auto"/>
            <w:noWrap/>
            <w:vAlign w:val="bottom"/>
            <w:hideMark/>
          </w:tcPr>
          <w:p w14:paraId="650AEA34" w14:textId="77777777" w:rsidR="00B260C0" w:rsidRPr="00131790" w:rsidRDefault="00B260C0" w:rsidP="002661CD">
            <w:pPr>
              <w:rPr>
                <w:rFonts w:cs="Arial"/>
                <w:color w:val="000000"/>
                <w:szCs w:val="22"/>
              </w:rPr>
            </w:pPr>
            <w:r w:rsidRPr="00131790">
              <w:rPr>
                <w:rFonts w:cs="Arial"/>
                <w:color w:val="000000"/>
                <w:szCs w:val="22"/>
              </w:rPr>
              <w:t>Dallas County, Alabama</w:t>
            </w:r>
          </w:p>
        </w:tc>
        <w:tc>
          <w:tcPr>
            <w:tcW w:w="2160" w:type="dxa"/>
            <w:tcBorders>
              <w:top w:val="nil"/>
              <w:left w:val="nil"/>
              <w:bottom w:val="single" w:sz="4" w:space="0" w:color="AAAAAA"/>
              <w:right w:val="single" w:sz="4" w:space="0" w:color="AAAAAA"/>
            </w:tcBorders>
            <w:shd w:val="clear" w:color="auto" w:fill="auto"/>
            <w:noWrap/>
            <w:vAlign w:val="bottom"/>
            <w:hideMark/>
          </w:tcPr>
          <w:p w14:paraId="6EC7AFB8" w14:textId="77777777" w:rsidR="00B260C0" w:rsidRPr="00131790" w:rsidRDefault="00B260C0" w:rsidP="002661CD">
            <w:pPr>
              <w:jc w:val="center"/>
              <w:rPr>
                <w:rFonts w:cs="Arial"/>
                <w:color w:val="000000"/>
                <w:szCs w:val="22"/>
              </w:rPr>
            </w:pPr>
            <w:r w:rsidRPr="00131790">
              <w:rPr>
                <w:rFonts w:cs="Arial"/>
                <w:color w:val="000000"/>
                <w:szCs w:val="22"/>
              </w:rPr>
              <w:t>39149</w:t>
            </w:r>
          </w:p>
        </w:tc>
      </w:tr>
      <w:tr w:rsidR="00B260C0" w:rsidRPr="00131790" w14:paraId="1A3D5260" w14:textId="77777777" w:rsidTr="002661CD">
        <w:trPr>
          <w:trHeight w:val="305"/>
        </w:trPr>
        <w:tc>
          <w:tcPr>
            <w:tcW w:w="4225" w:type="dxa"/>
            <w:tcBorders>
              <w:top w:val="nil"/>
              <w:left w:val="single" w:sz="4" w:space="0" w:color="AAAAAA"/>
              <w:bottom w:val="single" w:sz="4" w:space="0" w:color="AAAAAA"/>
              <w:right w:val="single" w:sz="4" w:space="0" w:color="AAAAAA"/>
            </w:tcBorders>
            <w:shd w:val="clear" w:color="auto" w:fill="auto"/>
            <w:noWrap/>
            <w:vAlign w:val="bottom"/>
            <w:hideMark/>
          </w:tcPr>
          <w:p w14:paraId="743527BA" w14:textId="77777777" w:rsidR="00B260C0" w:rsidRPr="00131790" w:rsidRDefault="00B260C0" w:rsidP="002661CD">
            <w:pPr>
              <w:rPr>
                <w:rFonts w:cs="Arial"/>
                <w:color w:val="000000"/>
                <w:szCs w:val="22"/>
              </w:rPr>
            </w:pPr>
            <w:r w:rsidRPr="00131790">
              <w:rPr>
                <w:rFonts w:cs="Arial"/>
                <w:color w:val="000000"/>
                <w:szCs w:val="22"/>
              </w:rPr>
              <w:t>Panola County, Mississippi</w:t>
            </w:r>
          </w:p>
        </w:tc>
        <w:tc>
          <w:tcPr>
            <w:tcW w:w="2160" w:type="dxa"/>
            <w:tcBorders>
              <w:top w:val="nil"/>
              <w:left w:val="nil"/>
              <w:bottom w:val="single" w:sz="4" w:space="0" w:color="AAAAAA"/>
              <w:right w:val="single" w:sz="4" w:space="0" w:color="AAAAAA"/>
            </w:tcBorders>
            <w:shd w:val="clear" w:color="auto" w:fill="auto"/>
            <w:noWrap/>
            <w:vAlign w:val="bottom"/>
            <w:hideMark/>
          </w:tcPr>
          <w:p w14:paraId="3641ED67" w14:textId="77777777" w:rsidR="00B260C0" w:rsidRPr="00131790" w:rsidRDefault="00B260C0" w:rsidP="002661CD">
            <w:pPr>
              <w:jc w:val="center"/>
              <w:rPr>
                <w:rFonts w:cs="Arial"/>
                <w:color w:val="000000"/>
                <w:szCs w:val="22"/>
              </w:rPr>
            </w:pPr>
            <w:r w:rsidRPr="00131790">
              <w:rPr>
                <w:rFonts w:cs="Arial"/>
                <w:color w:val="000000"/>
                <w:szCs w:val="22"/>
              </w:rPr>
              <w:t>34190</w:t>
            </w:r>
          </w:p>
        </w:tc>
      </w:tr>
      <w:tr w:rsidR="00B260C0" w:rsidRPr="00131790" w14:paraId="27574BE8" w14:textId="77777777" w:rsidTr="002661CD">
        <w:trPr>
          <w:trHeight w:val="305"/>
        </w:trPr>
        <w:tc>
          <w:tcPr>
            <w:tcW w:w="4225" w:type="dxa"/>
            <w:tcBorders>
              <w:top w:val="nil"/>
              <w:left w:val="single" w:sz="4" w:space="0" w:color="AAAAAA"/>
              <w:bottom w:val="single" w:sz="4" w:space="0" w:color="AAAAAA"/>
              <w:right w:val="single" w:sz="4" w:space="0" w:color="AAAAAA"/>
            </w:tcBorders>
            <w:shd w:val="clear" w:color="auto" w:fill="auto"/>
            <w:noWrap/>
            <w:vAlign w:val="bottom"/>
            <w:hideMark/>
          </w:tcPr>
          <w:p w14:paraId="3D8DEB11" w14:textId="77777777" w:rsidR="00B260C0" w:rsidRPr="00131790" w:rsidRDefault="00B260C0" w:rsidP="002661CD">
            <w:pPr>
              <w:rPr>
                <w:rFonts w:cs="Arial"/>
                <w:color w:val="000000"/>
                <w:szCs w:val="22"/>
              </w:rPr>
            </w:pPr>
            <w:r w:rsidRPr="00131790">
              <w:rPr>
                <w:rFonts w:cs="Arial"/>
                <w:color w:val="000000"/>
                <w:szCs w:val="22"/>
              </w:rPr>
              <w:t>Clarendon County, South Carolina</w:t>
            </w:r>
          </w:p>
        </w:tc>
        <w:tc>
          <w:tcPr>
            <w:tcW w:w="2160" w:type="dxa"/>
            <w:tcBorders>
              <w:top w:val="nil"/>
              <w:left w:val="nil"/>
              <w:bottom w:val="single" w:sz="4" w:space="0" w:color="AAAAAA"/>
              <w:right w:val="single" w:sz="4" w:space="0" w:color="AAAAAA"/>
            </w:tcBorders>
            <w:shd w:val="clear" w:color="auto" w:fill="auto"/>
            <w:noWrap/>
            <w:vAlign w:val="bottom"/>
            <w:hideMark/>
          </w:tcPr>
          <w:p w14:paraId="087FBBE1" w14:textId="77777777" w:rsidR="00B260C0" w:rsidRPr="00131790" w:rsidRDefault="00B260C0" w:rsidP="002661CD">
            <w:pPr>
              <w:jc w:val="center"/>
              <w:rPr>
                <w:rFonts w:cs="Arial"/>
                <w:color w:val="000000"/>
                <w:szCs w:val="22"/>
              </w:rPr>
            </w:pPr>
            <w:r w:rsidRPr="00131790">
              <w:rPr>
                <w:rFonts w:cs="Arial"/>
                <w:color w:val="000000"/>
                <w:szCs w:val="22"/>
              </w:rPr>
              <w:t>33957</w:t>
            </w:r>
          </w:p>
        </w:tc>
      </w:tr>
      <w:tr w:rsidR="00B260C0" w:rsidRPr="00131790" w14:paraId="52C21FF2" w14:textId="77777777" w:rsidTr="002661CD">
        <w:trPr>
          <w:trHeight w:val="305"/>
        </w:trPr>
        <w:tc>
          <w:tcPr>
            <w:tcW w:w="4225" w:type="dxa"/>
            <w:tcBorders>
              <w:top w:val="nil"/>
              <w:left w:val="single" w:sz="4" w:space="0" w:color="AAAAAA"/>
              <w:bottom w:val="single" w:sz="4" w:space="0" w:color="AAAAAA"/>
              <w:right w:val="single" w:sz="4" w:space="0" w:color="AAAAAA"/>
            </w:tcBorders>
            <w:shd w:val="clear" w:color="auto" w:fill="auto"/>
            <w:noWrap/>
            <w:vAlign w:val="bottom"/>
            <w:hideMark/>
          </w:tcPr>
          <w:p w14:paraId="5B07BA5A" w14:textId="77777777" w:rsidR="00B260C0" w:rsidRPr="00131790" w:rsidRDefault="00B260C0" w:rsidP="002661CD">
            <w:pPr>
              <w:rPr>
                <w:rFonts w:cs="Arial"/>
                <w:color w:val="000000"/>
                <w:szCs w:val="22"/>
              </w:rPr>
            </w:pPr>
            <w:r w:rsidRPr="00131790">
              <w:rPr>
                <w:rFonts w:cs="Arial"/>
                <w:color w:val="000000"/>
                <w:szCs w:val="22"/>
              </w:rPr>
              <w:t>Bee County, Texas</w:t>
            </w:r>
          </w:p>
        </w:tc>
        <w:tc>
          <w:tcPr>
            <w:tcW w:w="2160" w:type="dxa"/>
            <w:tcBorders>
              <w:top w:val="nil"/>
              <w:left w:val="nil"/>
              <w:bottom w:val="single" w:sz="4" w:space="0" w:color="AAAAAA"/>
              <w:right w:val="single" w:sz="4" w:space="0" w:color="AAAAAA"/>
            </w:tcBorders>
            <w:shd w:val="clear" w:color="auto" w:fill="auto"/>
            <w:noWrap/>
            <w:vAlign w:val="bottom"/>
            <w:hideMark/>
          </w:tcPr>
          <w:p w14:paraId="5284FBF1" w14:textId="77777777" w:rsidR="00B260C0" w:rsidRPr="00131790" w:rsidRDefault="00B260C0" w:rsidP="002661CD">
            <w:pPr>
              <w:jc w:val="center"/>
              <w:rPr>
                <w:rFonts w:cs="Arial"/>
                <w:color w:val="000000"/>
                <w:szCs w:val="22"/>
              </w:rPr>
            </w:pPr>
            <w:r w:rsidRPr="00131790">
              <w:rPr>
                <w:rFonts w:cs="Arial"/>
                <w:color w:val="000000"/>
                <w:szCs w:val="22"/>
              </w:rPr>
              <w:t>32611</w:t>
            </w:r>
          </w:p>
        </w:tc>
      </w:tr>
      <w:tr w:rsidR="00B260C0" w:rsidRPr="00131790" w14:paraId="5ABF2A30" w14:textId="77777777" w:rsidTr="002661CD">
        <w:trPr>
          <w:trHeight w:val="305"/>
        </w:trPr>
        <w:tc>
          <w:tcPr>
            <w:tcW w:w="4225" w:type="dxa"/>
            <w:tcBorders>
              <w:top w:val="nil"/>
              <w:left w:val="single" w:sz="4" w:space="0" w:color="AAAAAA"/>
              <w:bottom w:val="single" w:sz="4" w:space="0" w:color="AAAAAA"/>
              <w:right w:val="single" w:sz="4" w:space="0" w:color="AAAAAA"/>
            </w:tcBorders>
            <w:shd w:val="clear" w:color="auto" w:fill="auto"/>
            <w:noWrap/>
            <w:vAlign w:val="bottom"/>
            <w:hideMark/>
          </w:tcPr>
          <w:p w14:paraId="7C50671E" w14:textId="77777777" w:rsidR="00B260C0" w:rsidRPr="00131790" w:rsidRDefault="00B260C0" w:rsidP="002661CD">
            <w:pPr>
              <w:rPr>
                <w:rFonts w:cs="Arial"/>
                <w:color w:val="000000"/>
                <w:szCs w:val="22"/>
              </w:rPr>
            </w:pPr>
            <w:r w:rsidRPr="00131790">
              <w:rPr>
                <w:rFonts w:cs="Arial"/>
                <w:color w:val="000000"/>
                <w:szCs w:val="22"/>
              </w:rPr>
              <w:t>Bolivar County, Mississippi</w:t>
            </w:r>
          </w:p>
        </w:tc>
        <w:tc>
          <w:tcPr>
            <w:tcW w:w="2160" w:type="dxa"/>
            <w:tcBorders>
              <w:top w:val="nil"/>
              <w:left w:val="nil"/>
              <w:bottom w:val="single" w:sz="4" w:space="0" w:color="AAAAAA"/>
              <w:right w:val="single" w:sz="4" w:space="0" w:color="AAAAAA"/>
            </w:tcBorders>
            <w:shd w:val="clear" w:color="auto" w:fill="auto"/>
            <w:noWrap/>
            <w:vAlign w:val="bottom"/>
            <w:hideMark/>
          </w:tcPr>
          <w:p w14:paraId="3390F2CB" w14:textId="77777777" w:rsidR="00B260C0" w:rsidRPr="00131790" w:rsidRDefault="00B260C0" w:rsidP="002661CD">
            <w:pPr>
              <w:jc w:val="center"/>
              <w:rPr>
                <w:rFonts w:cs="Arial"/>
                <w:color w:val="000000"/>
                <w:szCs w:val="22"/>
              </w:rPr>
            </w:pPr>
            <w:r w:rsidRPr="00131790">
              <w:rPr>
                <w:rFonts w:cs="Arial"/>
                <w:color w:val="000000"/>
                <w:szCs w:val="22"/>
              </w:rPr>
              <w:t>31848</w:t>
            </w:r>
          </w:p>
        </w:tc>
      </w:tr>
      <w:tr w:rsidR="00B260C0" w:rsidRPr="00131790" w14:paraId="4C41CB01" w14:textId="77777777" w:rsidTr="002661CD">
        <w:trPr>
          <w:trHeight w:val="305"/>
        </w:trPr>
        <w:tc>
          <w:tcPr>
            <w:tcW w:w="4225" w:type="dxa"/>
            <w:tcBorders>
              <w:top w:val="nil"/>
              <w:left w:val="single" w:sz="4" w:space="0" w:color="AAAAAA"/>
              <w:bottom w:val="single" w:sz="4" w:space="0" w:color="AAAAAA"/>
              <w:right w:val="single" w:sz="4" w:space="0" w:color="AAAAAA"/>
            </w:tcBorders>
            <w:shd w:val="clear" w:color="auto" w:fill="auto"/>
            <w:noWrap/>
            <w:vAlign w:val="bottom"/>
            <w:hideMark/>
          </w:tcPr>
          <w:p w14:paraId="72C26879" w14:textId="77777777" w:rsidR="00B260C0" w:rsidRPr="00131790" w:rsidRDefault="00B260C0" w:rsidP="002661CD">
            <w:pPr>
              <w:rPr>
                <w:rFonts w:cs="Arial"/>
                <w:color w:val="000000"/>
                <w:szCs w:val="22"/>
              </w:rPr>
            </w:pPr>
            <w:r w:rsidRPr="00131790">
              <w:rPr>
                <w:rFonts w:cs="Arial"/>
                <w:color w:val="000000"/>
                <w:szCs w:val="22"/>
              </w:rPr>
              <w:lastRenderedPageBreak/>
              <w:t>Williamsburg County, South Carolina</w:t>
            </w:r>
          </w:p>
        </w:tc>
        <w:tc>
          <w:tcPr>
            <w:tcW w:w="2160" w:type="dxa"/>
            <w:tcBorders>
              <w:top w:val="nil"/>
              <w:left w:val="nil"/>
              <w:bottom w:val="single" w:sz="4" w:space="0" w:color="AAAAAA"/>
              <w:right w:val="single" w:sz="4" w:space="0" w:color="AAAAAA"/>
            </w:tcBorders>
            <w:shd w:val="clear" w:color="auto" w:fill="auto"/>
            <w:noWrap/>
            <w:vAlign w:val="bottom"/>
            <w:hideMark/>
          </w:tcPr>
          <w:p w14:paraId="272EDF85" w14:textId="77777777" w:rsidR="00B260C0" w:rsidRPr="00131790" w:rsidRDefault="00B260C0" w:rsidP="002661CD">
            <w:pPr>
              <w:jc w:val="center"/>
              <w:rPr>
                <w:rFonts w:cs="Arial"/>
                <w:color w:val="000000"/>
                <w:szCs w:val="22"/>
              </w:rPr>
            </w:pPr>
            <w:r w:rsidRPr="00131790">
              <w:rPr>
                <w:rFonts w:cs="Arial"/>
                <w:color w:val="000000"/>
                <w:szCs w:val="22"/>
              </w:rPr>
              <w:t>31324</w:t>
            </w:r>
          </w:p>
        </w:tc>
      </w:tr>
      <w:tr w:rsidR="00B260C0" w:rsidRPr="00131790" w14:paraId="058CD2FB" w14:textId="77777777" w:rsidTr="002661CD">
        <w:trPr>
          <w:trHeight w:val="305"/>
        </w:trPr>
        <w:tc>
          <w:tcPr>
            <w:tcW w:w="4225" w:type="dxa"/>
            <w:tcBorders>
              <w:top w:val="nil"/>
              <w:left w:val="single" w:sz="4" w:space="0" w:color="AAAAAA"/>
              <w:bottom w:val="single" w:sz="4" w:space="0" w:color="AAAAAA"/>
              <w:right w:val="single" w:sz="4" w:space="0" w:color="AAAAAA"/>
            </w:tcBorders>
            <w:shd w:val="clear" w:color="auto" w:fill="auto"/>
            <w:noWrap/>
            <w:vAlign w:val="bottom"/>
            <w:hideMark/>
          </w:tcPr>
          <w:p w14:paraId="1315CF77" w14:textId="77777777" w:rsidR="00B260C0" w:rsidRPr="00131790" w:rsidRDefault="00B260C0" w:rsidP="002661CD">
            <w:pPr>
              <w:rPr>
                <w:rFonts w:cs="Arial"/>
                <w:color w:val="000000"/>
                <w:szCs w:val="22"/>
              </w:rPr>
            </w:pPr>
            <w:r w:rsidRPr="00131790">
              <w:rPr>
                <w:rFonts w:cs="Arial"/>
                <w:color w:val="000000"/>
                <w:szCs w:val="22"/>
              </w:rPr>
              <w:t>Marion County, South Carolina</w:t>
            </w:r>
          </w:p>
        </w:tc>
        <w:tc>
          <w:tcPr>
            <w:tcW w:w="2160" w:type="dxa"/>
            <w:tcBorders>
              <w:top w:val="nil"/>
              <w:left w:val="nil"/>
              <w:bottom w:val="single" w:sz="4" w:space="0" w:color="AAAAAA"/>
              <w:right w:val="single" w:sz="4" w:space="0" w:color="AAAAAA"/>
            </w:tcBorders>
            <w:shd w:val="clear" w:color="auto" w:fill="auto"/>
            <w:noWrap/>
            <w:vAlign w:val="bottom"/>
            <w:hideMark/>
          </w:tcPr>
          <w:p w14:paraId="46C4C380" w14:textId="77777777" w:rsidR="00B260C0" w:rsidRPr="00131790" w:rsidRDefault="00B260C0" w:rsidP="002661CD">
            <w:pPr>
              <w:jc w:val="center"/>
              <w:rPr>
                <w:rFonts w:cs="Arial"/>
                <w:color w:val="000000"/>
                <w:szCs w:val="22"/>
              </w:rPr>
            </w:pPr>
            <w:r w:rsidRPr="00131790">
              <w:rPr>
                <w:rFonts w:cs="Arial"/>
                <w:color w:val="000000"/>
                <w:szCs w:val="22"/>
              </w:rPr>
              <w:t>31308</w:t>
            </w:r>
          </w:p>
        </w:tc>
      </w:tr>
      <w:tr w:rsidR="00B260C0" w:rsidRPr="00131790" w14:paraId="08EEDED9" w14:textId="77777777" w:rsidTr="002661CD">
        <w:trPr>
          <w:trHeight w:val="305"/>
        </w:trPr>
        <w:tc>
          <w:tcPr>
            <w:tcW w:w="4225" w:type="dxa"/>
            <w:tcBorders>
              <w:top w:val="nil"/>
              <w:left w:val="single" w:sz="4" w:space="0" w:color="AAAAAA"/>
              <w:bottom w:val="single" w:sz="4" w:space="0" w:color="AAAAAA"/>
              <w:right w:val="single" w:sz="4" w:space="0" w:color="AAAAAA"/>
            </w:tcBorders>
            <w:shd w:val="clear" w:color="auto" w:fill="auto"/>
            <w:noWrap/>
            <w:vAlign w:val="bottom"/>
            <w:hideMark/>
          </w:tcPr>
          <w:p w14:paraId="0686939F" w14:textId="77777777" w:rsidR="00B260C0" w:rsidRPr="00131790" w:rsidRDefault="00B260C0" w:rsidP="002661CD">
            <w:pPr>
              <w:rPr>
                <w:rFonts w:cs="Arial"/>
                <w:color w:val="000000"/>
                <w:szCs w:val="22"/>
              </w:rPr>
            </w:pPr>
            <w:r w:rsidRPr="00131790">
              <w:rPr>
                <w:rFonts w:cs="Arial"/>
                <w:color w:val="000000"/>
                <w:szCs w:val="22"/>
              </w:rPr>
              <w:t>Adams County, Mississippi</w:t>
            </w:r>
          </w:p>
        </w:tc>
        <w:tc>
          <w:tcPr>
            <w:tcW w:w="2160" w:type="dxa"/>
            <w:tcBorders>
              <w:top w:val="nil"/>
              <w:left w:val="nil"/>
              <w:bottom w:val="single" w:sz="4" w:space="0" w:color="AAAAAA"/>
              <w:right w:val="single" w:sz="4" w:space="0" w:color="AAAAAA"/>
            </w:tcBorders>
            <w:shd w:val="clear" w:color="auto" w:fill="auto"/>
            <w:noWrap/>
            <w:vAlign w:val="bottom"/>
            <w:hideMark/>
          </w:tcPr>
          <w:p w14:paraId="73D9E338" w14:textId="77777777" w:rsidR="00B260C0" w:rsidRPr="00131790" w:rsidRDefault="00B260C0" w:rsidP="002661CD">
            <w:pPr>
              <w:jc w:val="center"/>
              <w:rPr>
                <w:rFonts w:cs="Arial"/>
                <w:color w:val="000000"/>
                <w:szCs w:val="22"/>
              </w:rPr>
            </w:pPr>
            <w:r w:rsidRPr="00131790">
              <w:rPr>
                <w:rFonts w:cs="Arial"/>
                <w:color w:val="000000"/>
                <w:szCs w:val="22"/>
              </w:rPr>
              <w:t>31266</w:t>
            </w:r>
          </w:p>
        </w:tc>
      </w:tr>
    </w:tbl>
    <w:p w14:paraId="4EE7D5EA" w14:textId="77777777" w:rsidR="00B260C0" w:rsidRPr="00131790" w:rsidRDefault="00B260C0" w:rsidP="00B260C0">
      <w:pPr>
        <w:pStyle w:val="ListParagraph"/>
        <w:rPr>
          <w:rFonts w:cs="Arial"/>
          <w:szCs w:val="22"/>
        </w:rPr>
      </w:pPr>
    </w:p>
    <w:p w14:paraId="2F065CDB" w14:textId="77777777" w:rsidR="00B260C0" w:rsidRPr="00131790" w:rsidRDefault="00B260C0" w:rsidP="00B260C0">
      <w:pPr>
        <w:pStyle w:val="ListParagraph"/>
        <w:rPr>
          <w:rFonts w:cs="Arial"/>
          <w:szCs w:val="22"/>
        </w:rPr>
      </w:pPr>
    </w:p>
    <w:p w14:paraId="22251826" w14:textId="77777777" w:rsidR="00B260C0" w:rsidRPr="00131790" w:rsidRDefault="00B260C0" w:rsidP="00B260C0">
      <w:pPr>
        <w:pStyle w:val="ListParagraph"/>
        <w:rPr>
          <w:rFonts w:cs="Arial"/>
          <w:szCs w:val="22"/>
        </w:rPr>
      </w:pPr>
    </w:p>
    <w:p w14:paraId="041C3470" w14:textId="77777777" w:rsidR="00B260C0" w:rsidRPr="00131790" w:rsidRDefault="00B260C0" w:rsidP="00B260C0">
      <w:pPr>
        <w:pStyle w:val="ListParagraph"/>
        <w:rPr>
          <w:rFonts w:cs="Arial"/>
          <w:szCs w:val="22"/>
        </w:rPr>
      </w:pPr>
    </w:p>
    <w:p w14:paraId="49145CDE" w14:textId="77777777" w:rsidR="00B260C0" w:rsidRPr="00131790" w:rsidRDefault="00B260C0" w:rsidP="00B260C0">
      <w:pPr>
        <w:pStyle w:val="ListParagraph"/>
        <w:rPr>
          <w:rFonts w:cs="Arial"/>
          <w:szCs w:val="22"/>
        </w:rPr>
      </w:pPr>
    </w:p>
    <w:p w14:paraId="600B4338" w14:textId="117A213E" w:rsidR="00B260C0" w:rsidRPr="00131790" w:rsidRDefault="00B260C0" w:rsidP="00B260C0">
      <w:pPr>
        <w:rPr>
          <w:szCs w:val="22"/>
        </w:rPr>
      </w:pPr>
      <w:r w:rsidRPr="00131790">
        <w:rPr>
          <w:szCs w:val="22"/>
        </w:rPr>
        <w:t>The geographic concentration of rural people of color with low incomes suggests several possibilities for network building. It may point to areas of intense need—high-value targets for change—and to areas of potential local political power, given voting majorities of people of color.</w:t>
      </w:r>
      <w:r w:rsidRPr="00131790">
        <w:rPr>
          <w:rStyle w:val="FootnoteReference"/>
          <w:szCs w:val="22"/>
        </w:rPr>
        <w:footnoteReference w:id="11"/>
      </w:r>
      <w:r w:rsidRPr="00131790">
        <w:rPr>
          <w:szCs w:val="22"/>
        </w:rPr>
        <w:t xml:space="preserve">  </w:t>
      </w:r>
    </w:p>
    <w:p w14:paraId="2B1E94BC" w14:textId="77777777" w:rsidR="00B260C0" w:rsidRPr="00131790" w:rsidRDefault="00B260C0" w:rsidP="00B260C0">
      <w:pPr>
        <w:rPr>
          <w:szCs w:val="22"/>
        </w:rPr>
      </w:pPr>
    </w:p>
    <w:p w14:paraId="4F3CBE85" w14:textId="35FF7696" w:rsidR="00B260C0" w:rsidRDefault="00B260C0" w:rsidP="00B260C0">
      <w:pPr>
        <w:rPr>
          <w:szCs w:val="22"/>
        </w:rPr>
      </w:pPr>
      <w:r w:rsidRPr="00F47C88">
        <w:rPr>
          <w:szCs w:val="22"/>
        </w:rPr>
        <w:t>[The database assembled by University of North Carolina is available as a free download.</w:t>
      </w:r>
    </w:p>
    <w:p w14:paraId="20EA567B" w14:textId="77777777" w:rsidR="00F4027A" w:rsidRPr="00320126" w:rsidRDefault="00F4027A" w:rsidP="00B260C0">
      <w:pPr>
        <w:rPr>
          <w:szCs w:val="22"/>
        </w:rPr>
      </w:pPr>
    </w:p>
    <w:p w14:paraId="6865E66E" w14:textId="77777777" w:rsidR="00B260C0" w:rsidRPr="00F4027A" w:rsidRDefault="00B260C0" w:rsidP="00F4027A">
      <w:pPr>
        <w:rPr>
          <w:b/>
          <w:bCs/>
        </w:rPr>
      </w:pPr>
      <w:bookmarkStart w:id="3" w:name="_Toc96513165"/>
      <w:r w:rsidRPr="00F4027A">
        <w:rPr>
          <w:b/>
          <w:bCs/>
        </w:rPr>
        <w:t>Five-Year Budget for Investing in a Rural Anti-Racism Network</w:t>
      </w:r>
      <w:bookmarkEnd w:id="3"/>
    </w:p>
    <w:p w14:paraId="2845FC4E" w14:textId="77777777" w:rsidR="00B260C0" w:rsidRDefault="00B260C0" w:rsidP="00B260C0"/>
    <w:p w14:paraId="1FECF6DB" w14:textId="77777777" w:rsidR="00B260C0" w:rsidRDefault="00B260C0" w:rsidP="00B260C0">
      <w:pPr>
        <w:rPr>
          <w:szCs w:val="22"/>
        </w:rPr>
      </w:pPr>
      <w:r>
        <w:rPr>
          <w:rFonts w:cs="Arial"/>
          <w:szCs w:val="22"/>
        </w:rPr>
        <w:t xml:space="preserve">We developed a 5-year budget for a robust start-up and expansion of a rural anti-racism network of organizations. </w:t>
      </w:r>
      <w:r w:rsidRPr="00C33609">
        <w:rPr>
          <w:rFonts w:cs="Arial"/>
          <w:szCs w:val="22"/>
        </w:rPr>
        <w:t xml:space="preserve">Our analysis shows that the development of a nationwide </w:t>
      </w:r>
      <w:r w:rsidRPr="00C33609">
        <w:rPr>
          <w:szCs w:val="22"/>
        </w:rPr>
        <w:t xml:space="preserve">network of rural organizations led by people of color that centers racial equity in community and economic development efforts requires an initial investment of roughly $7.4 million over five years. </w:t>
      </w:r>
    </w:p>
    <w:p w14:paraId="60C70413" w14:textId="77777777" w:rsidR="00B260C0" w:rsidRDefault="00B260C0" w:rsidP="00B260C0">
      <w:pPr>
        <w:rPr>
          <w:szCs w:val="22"/>
        </w:rPr>
      </w:pPr>
    </w:p>
    <w:p w14:paraId="4DF448E8" w14:textId="77777777" w:rsidR="00B260C0" w:rsidRPr="00C33609" w:rsidRDefault="00B260C0" w:rsidP="00B260C0">
      <w:pPr>
        <w:rPr>
          <w:szCs w:val="22"/>
        </w:rPr>
      </w:pPr>
      <w:r w:rsidRPr="00C33609">
        <w:rPr>
          <w:rFonts w:cs="Arial"/>
          <w:szCs w:val="22"/>
        </w:rPr>
        <w:t>During this period, the network would establish operations, grow its membership substantially, and initiate a portfolio of activities with impact. With this investment in hand, the network could reach a mature state and raise additional funds from other sources.</w:t>
      </w:r>
      <w:r w:rsidRPr="00C33609">
        <w:rPr>
          <w:szCs w:val="22"/>
        </w:rPr>
        <w:t xml:space="preserve"> We arrived at this amount of investment by developing a 5-year budget for the network </w:t>
      </w:r>
      <w:r w:rsidRPr="00C33609">
        <w:rPr>
          <w:rFonts w:cs="Arial"/>
          <w:szCs w:val="22"/>
        </w:rPr>
        <w:t>based on our experiences working with more than 50 social-impact networks. Then we t</w:t>
      </w:r>
      <w:r w:rsidRPr="00C33609">
        <w:rPr>
          <w:szCs w:val="22"/>
        </w:rPr>
        <w:t xml:space="preserve">ested the result against the budgets of four national networks of organizations. </w:t>
      </w:r>
    </w:p>
    <w:p w14:paraId="2F9DDDB9" w14:textId="77777777" w:rsidR="00B260C0" w:rsidRPr="00C33609" w:rsidRDefault="00B260C0" w:rsidP="00B260C0">
      <w:pPr>
        <w:rPr>
          <w:rFonts w:cs="Arial"/>
          <w:szCs w:val="22"/>
        </w:rPr>
      </w:pPr>
    </w:p>
    <w:p w14:paraId="564FDC32" w14:textId="77777777" w:rsidR="00B260C0" w:rsidRPr="00C33609" w:rsidRDefault="00B260C0" w:rsidP="00B260C0">
      <w:pPr>
        <w:rPr>
          <w:rFonts w:cs="Arial"/>
          <w:szCs w:val="22"/>
        </w:rPr>
      </w:pPr>
      <w:r w:rsidRPr="00C33609">
        <w:rPr>
          <w:rFonts w:cs="Arial"/>
          <w:szCs w:val="22"/>
        </w:rPr>
        <w:t>The 5-year budget contains several important assumptions:</w:t>
      </w:r>
    </w:p>
    <w:p w14:paraId="50BF49C6" w14:textId="77777777" w:rsidR="00B260C0" w:rsidRPr="00C33609" w:rsidRDefault="00B260C0" w:rsidP="00B260C0">
      <w:pPr>
        <w:rPr>
          <w:rFonts w:cs="Arial"/>
          <w:szCs w:val="22"/>
        </w:rPr>
      </w:pPr>
    </w:p>
    <w:p w14:paraId="557E0213" w14:textId="77777777" w:rsidR="00B260C0" w:rsidRPr="00C33609" w:rsidRDefault="00B260C0" w:rsidP="00B260C0">
      <w:pPr>
        <w:pStyle w:val="ListParagraph"/>
        <w:numPr>
          <w:ilvl w:val="0"/>
          <w:numId w:val="9"/>
        </w:numPr>
        <w:rPr>
          <w:rFonts w:cs="Arial"/>
          <w:szCs w:val="22"/>
        </w:rPr>
      </w:pPr>
      <w:r w:rsidRPr="00C33609">
        <w:rPr>
          <w:rFonts w:cs="Arial"/>
          <w:szCs w:val="22"/>
        </w:rPr>
        <w:t xml:space="preserve">The budget ramps up each year, driven by growth of network membership, staffing, and projects. In Year 4 it contains 200 member-organizations and reaches steady-state operations. </w:t>
      </w:r>
    </w:p>
    <w:p w14:paraId="5E22883D" w14:textId="77777777" w:rsidR="00B260C0" w:rsidRPr="00C33609" w:rsidRDefault="00B260C0" w:rsidP="00B260C0">
      <w:pPr>
        <w:pStyle w:val="ListParagraph"/>
        <w:numPr>
          <w:ilvl w:val="0"/>
          <w:numId w:val="9"/>
        </w:numPr>
        <w:rPr>
          <w:rFonts w:cs="Arial"/>
          <w:szCs w:val="22"/>
        </w:rPr>
      </w:pPr>
      <w:r w:rsidRPr="00C33609">
        <w:rPr>
          <w:rFonts w:cs="Arial"/>
          <w:szCs w:val="22"/>
        </w:rPr>
        <w:t xml:space="preserve">The cost of an annual convening covers travel, lodging, and meals for members, as well as venue rental and other typical convening costs. </w:t>
      </w:r>
    </w:p>
    <w:p w14:paraId="6DD1773B" w14:textId="77777777" w:rsidR="00B260C0" w:rsidRPr="00C33609" w:rsidRDefault="00B260C0" w:rsidP="00B260C0">
      <w:pPr>
        <w:pStyle w:val="ListParagraph"/>
        <w:numPr>
          <w:ilvl w:val="0"/>
          <w:numId w:val="9"/>
        </w:numPr>
        <w:rPr>
          <w:rFonts w:cs="Arial"/>
          <w:szCs w:val="22"/>
        </w:rPr>
      </w:pPr>
      <w:r w:rsidRPr="00C33609">
        <w:rPr>
          <w:rFonts w:cs="Arial"/>
          <w:szCs w:val="22"/>
        </w:rPr>
        <w:t xml:space="preserve">The budget includes modest annual stipends for member-organizations, which support and value member participation, and reflects an investment, rather than extraction, approach. </w:t>
      </w:r>
    </w:p>
    <w:p w14:paraId="17D801EE" w14:textId="77777777" w:rsidR="00B260C0" w:rsidRPr="00C33609" w:rsidRDefault="00B260C0" w:rsidP="00B260C0">
      <w:pPr>
        <w:pStyle w:val="ListParagraph"/>
        <w:ind w:left="1080"/>
        <w:rPr>
          <w:rFonts w:cs="Arial"/>
          <w:szCs w:val="22"/>
        </w:rPr>
      </w:pPr>
    </w:p>
    <w:p w14:paraId="54CEC5BA" w14:textId="77777777" w:rsidR="00B260C0" w:rsidRPr="00C33609" w:rsidRDefault="00B260C0" w:rsidP="00B260C0">
      <w:pPr>
        <w:jc w:val="center"/>
        <w:rPr>
          <w:rFonts w:cs="Arial"/>
          <w:b/>
          <w:bCs/>
          <w:i/>
          <w:iCs/>
          <w:szCs w:val="22"/>
        </w:rPr>
      </w:pPr>
      <w:r w:rsidRPr="00C33609">
        <w:rPr>
          <w:rFonts w:cs="Arial"/>
          <w:b/>
          <w:bCs/>
          <w:i/>
          <w:iCs/>
          <w:szCs w:val="22"/>
        </w:rPr>
        <w:t>Five-Year Budget for Investment in Rural Anti-Racism Network</w:t>
      </w:r>
    </w:p>
    <w:p w14:paraId="1B84483D" w14:textId="77777777" w:rsidR="00B260C0" w:rsidRPr="00C33609" w:rsidRDefault="00B260C0" w:rsidP="00B260C0">
      <w:pPr>
        <w:rPr>
          <w:rFonts w:cs="Arial"/>
          <w:szCs w:val="22"/>
        </w:rPr>
      </w:pP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875"/>
        <w:gridCol w:w="926"/>
        <w:gridCol w:w="926"/>
        <w:gridCol w:w="944"/>
        <w:gridCol w:w="909"/>
        <w:gridCol w:w="1106"/>
        <w:gridCol w:w="1907"/>
      </w:tblGrid>
      <w:tr w:rsidR="00B260C0" w:rsidRPr="00C33609" w14:paraId="7C41D84E" w14:textId="77777777" w:rsidTr="002661CD">
        <w:trPr>
          <w:trHeight w:val="320"/>
        </w:trPr>
        <w:tc>
          <w:tcPr>
            <w:tcW w:w="1370" w:type="dxa"/>
            <w:shd w:val="clear" w:color="auto" w:fill="auto"/>
            <w:hideMark/>
          </w:tcPr>
          <w:p w14:paraId="3CD41391" w14:textId="77777777" w:rsidR="00B260C0" w:rsidRPr="00C33609" w:rsidRDefault="00B260C0" w:rsidP="002661CD">
            <w:pPr>
              <w:rPr>
                <w:sz w:val="20"/>
                <w:szCs w:val="20"/>
              </w:rPr>
            </w:pPr>
          </w:p>
        </w:tc>
        <w:tc>
          <w:tcPr>
            <w:tcW w:w="875" w:type="dxa"/>
            <w:shd w:val="clear" w:color="auto" w:fill="auto"/>
            <w:noWrap/>
            <w:hideMark/>
          </w:tcPr>
          <w:p w14:paraId="2EFF7F7D" w14:textId="77777777" w:rsidR="00B260C0" w:rsidRPr="00C33609" w:rsidRDefault="00B260C0" w:rsidP="002661CD">
            <w:pPr>
              <w:jc w:val="center"/>
              <w:rPr>
                <w:rFonts w:cs="Calibri"/>
                <w:b/>
                <w:bCs/>
                <w:color w:val="000000"/>
                <w:sz w:val="20"/>
                <w:szCs w:val="20"/>
              </w:rPr>
            </w:pPr>
            <w:r w:rsidRPr="00C33609">
              <w:rPr>
                <w:rFonts w:cs="Calibri"/>
                <w:b/>
                <w:bCs/>
                <w:color w:val="000000"/>
                <w:sz w:val="20"/>
                <w:szCs w:val="20"/>
              </w:rPr>
              <w:t>YEAR 1</w:t>
            </w:r>
          </w:p>
        </w:tc>
        <w:tc>
          <w:tcPr>
            <w:tcW w:w="926" w:type="dxa"/>
            <w:shd w:val="clear" w:color="auto" w:fill="auto"/>
            <w:noWrap/>
            <w:hideMark/>
          </w:tcPr>
          <w:p w14:paraId="1ACAA1C6" w14:textId="77777777" w:rsidR="00B260C0" w:rsidRPr="00C33609" w:rsidRDefault="00B260C0" w:rsidP="002661CD">
            <w:pPr>
              <w:jc w:val="center"/>
              <w:rPr>
                <w:rFonts w:cs="Calibri"/>
                <w:b/>
                <w:bCs/>
                <w:color w:val="000000"/>
                <w:sz w:val="20"/>
                <w:szCs w:val="20"/>
              </w:rPr>
            </w:pPr>
            <w:r w:rsidRPr="00C33609">
              <w:rPr>
                <w:rFonts w:cs="Calibri"/>
                <w:b/>
                <w:bCs/>
                <w:color w:val="000000"/>
                <w:sz w:val="20"/>
                <w:szCs w:val="20"/>
              </w:rPr>
              <w:t>YEAR 2</w:t>
            </w:r>
          </w:p>
        </w:tc>
        <w:tc>
          <w:tcPr>
            <w:tcW w:w="926" w:type="dxa"/>
            <w:shd w:val="clear" w:color="auto" w:fill="auto"/>
            <w:noWrap/>
            <w:hideMark/>
          </w:tcPr>
          <w:p w14:paraId="6AACE7B8" w14:textId="77777777" w:rsidR="00B260C0" w:rsidRPr="00C33609" w:rsidRDefault="00B260C0" w:rsidP="002661CD">
            <w:pPr>
              <w:jc w:val="center"/>
              <w:rPr>
                <w:rFonts w:cs="Calibri"/>
                <w:b/>
                <w:bCs/>
                <w:color w:val="000000"/>
                <w:sz w:val="20"/>
                <w:szCs w:val="20"/>
              </w:rPr>
            </w:pPr>
            <w:r w:rsidRPr="00C33609">
              <w:rPr>
                <w:rFonts w:cs="Calibri"/>
                <w:b/>
                <w:bCs/>
                <w:color w:val="000000"/>
                <w:sz w:val="20"/>
                <w:szCs w:val="20"/>
              </w:rPr>
              <w:t>YEAR 3</w:t>
            </w:r>
          </w:p>
        </w:tc>
        <w:tc>
          <w:tcPr>
            <w:tcW w:w="926" w:type="dxa"/>
            <w:shd w:val="clear" w:color="auto" w:fill="auto"/>
            <w:noWrap/>
            <w:hideMark/>
          </w:tcPr>
          <w:p w14:paraId="06425FEE" w14:textId="77777777" w:rsidR="00B260C0" w:rsidRPr="00C33609" w:rsidRDefault="00B260C0" w:rsidP="002661CD">
            <w:pPr>
              <w:jc w:val="center"/>
              <w:rPr>
                <w:rFonts w:cs="Calibri"/>
                <w:b/>
                <w:bCs/>
                <w:color w:val="000000"/>
                <w:sz w:val="20"/>
                <w:szCs w:val="20"/>
              </w:rPr>
            </w:pPr>
            <w:r w:rsidRPr="00C33609">
              <w:rPr>
                <w:rFonts w:cs="Calibri"/>
                <w:b/>
                <w:bCs/>
                <w:color w:val="000000"/>
                <w:sz w:val="20"/>
                <w:szCs w:val="20"/>
              </w:rPr>
              <w:t>YEAR 4</w:t>
            </w:r>
          </w:p>
        </w:tc>
        <w:tc>
          <w:tcPr>
            <w:tcW w:w="822" w:type="dxa"/>
            <w:shd w:val="clear" w:color="auto" w:fill="auto"/>
            <w:noWrap/>
            <w:hideMark/>
          </w:tcPr>
          <w:p w14:paraId="3B66D805" w14:textId="77777777" w:rsidR="00B260C0" w:rsidRPr="00C33609" w:rsidRDefault="00B260C0" w:rsidP="002661CD">
            <w:pPr>
              <w:jc w:val="center"/>
              <w:rPr>
                <w:rFonts w:cs="Calibri"/>
                <w:b/>
                <w:bCs/>
                <w:color w:val="000000"/>
                <w:sz w:val="20"/>
                <w:szCs w:val="20"/>
              </w:rPr>
            </w:pPr>
            <w:r w:rsidRPr="00C33609">
              <w:rPr>
                <w:rFonts w:cs="Calibri"/>
                <w:b/>
                <w:bCs/>
                <w:color w:val="000000"/>
                <w:sz w:val="20"/>
                <w:szCs w:val="20"/>
              </w:rPr>
              <w:t>YEAR 5</w:t>
            </w:r>
          </w:p>
        </w:tc>
        <w:tc>
          <w:tcPr>
            <w:tcW w:w="1106" w:type="dxa"/>
            <w:shd w:val="clear" w:color="auto" w:fill="auto"/>
            <w:noWrap/>
            <w:hideMark/>
          </w:tcPr>
          <w:p w14:paraId="737A183F" w14:textId="77777777" w:rsidR="00B260C0" w:rsidRPr="00C33609" w:rsidRDefault="00B260C0" w:rsidP="002661CD">
            <w:pPr>
              <w:jc w:val="center"/>
              <w:rPr>
                <w:rFonts w:cs="Calibri"/>
                <w:b/>
                <w:bCs/>
                <w:color w:val="000000"/>
                <w:sz w:val="20"/>
                <w:szCs w:val="20"/>
              </w:rPr>
            </w:pPr>
            <w:r w:rsidRPr="00C33609">
              <w:rPr>
                <w:rFonts w:cs="Calibri"/>
                <w:b/>
                <w:bCs/>
                <w:color w:val="000000"/>
                <w:sz w:val="20"/>
                <w:szCs w:val="20"/>
              </w:rPr>
              <w:t>TOTAL</w:t>
            </w:r>
          </w:p>
        </w:tc>
        <w:tc>
          <w:tcPr>
            <w:tcW w:w="2089" w:type="dxa"/>
            <w:shd w:val="clear" w:color="auto" w:fill="auto"/>
            <w:hideMark/>
          </w:tcPr>
          <w:p w14:paraId="2E012053" w14:textId="77777777" w:rsidR="00B260C0" w:rsidRPr="00C33609" w:rsidRDefault="00B260C0" w:rsidP="002661CD">
            <w:pPr>
              <w:jc w:val="center"/>
              <w:rPr>
                <w:rFonts w:cs="Calibri"/>
                <w:b/>
                <w:bCs/>
                <w:color w:val="000000"/>
                <w:sz w:val="20"/>
                <w:szCs w:val="20"/>
              </w:rPr>
            </w:pPr>
            <w:r w:rsidRPr="00C33609">
              <w:rPr>
                <w:rFonts w:cs="Calibri"/>
                <w:b/>
                <w:bCs/>
                <w:color w:val="000000"/>
                <w:sz w:val="20"/>
                <w:szCs w:val="20"/>
              </w:rPr>
              <w:t>NOTES</w:t>
            </w:r>
          </w:p>
        </w:tc>
      </w:tr>
      <w:tr w:rsidR="00B260C0" w:rsidRPr="00C33609" w14:paraId="36929C88" w14:textId="77777777" w:rsidTr="002661CD">
        <w:trPr>
          <w:trHeight w:val="600"/>
        </w:trPr>
        <w:tc>
          <w:tcPr>
            <w:tcW w:w="1370" w:type="dxa"/>
            <w:shd w:val="clear" w:color="auto" w:fill="auto"/>
            <w:hideMark/>
          </w:tcPr>
          <w:p w14:paraId="05142578" w14:textId="77777777" w:rsidR="00B260C0" w:rsidRPr="00C33609" w:rsidRDefault="00B260C0" w:rsidP="002661CD">
            <w:pPr>
              <w:rPr>
                <w:rFonts w:cs="Calibri"/>
                <w:b/>
                <w:bCs/>
                <w:color w:val="000000"/>
                <w:sz w:val="20"/>
                <w:szCs w:val="20"/>
              </w:rPr>
            </w:pPr>
            <w:r w:rsidRPr="00C33609">
              <w:rPr>
                <w:rFonts w:cs="Calibri"/>
                <w:b/>
                <w:bCs/>
                <w:color w:val="000000"/>
                <w:sz w:val="20"/>
                <w:szCs w:val="20"/>
              </w:rPr>
              <w:t>Network Manager</w:t>
            </w:r>
          </w:p>
        </w:tc>
        <w:tc>
          <w:tcPr>
            <w:tcW w:w="875" w:type="dxa"/>
            <w:shd w:val="clear" w:color="auto" w:fill="auto"/>
            <w:noWrap/>
            <w:hideMark/>
          </w:tcPr>
          <w:p w14:paraId="70EE2D41" w14:textId="77777777" w:rsidR="00B260C0" w:rsidRPr="00C33609" w:rsidRDefault="00B260C0" w:rsidP="002661CD">
            <w:pPr>
              <w:jc w:val="right"/>
              <w:rPr>
                <w:rFonts w:cs="Calibri"/>
                <w:color w:val="000000"/>
                <w:sz w:val="20"/>
                <w:szCs w:val="20"/>
              </w:rPr>
            </w:pPr>
            <w:r w:rsidRPr="00C33609">
              <w:rPr>
                <w:rFonts w:cs="Calibri"/>
                <w:color w:val="000000"/>
                <w:sz w:val="20"/>
                <w:szCs w:val="20"/>
              </w:rPr>
              <w:t>150000</w:t>
            </w:r>
          </w:p>
        </w:tc>
        <w:tc>
          <w:tcPr>
            <w:tcW w:w="926" w:type="dxa"/>
            <w:shd w:val="clear" w:color="auto" w:fill="auto"/>
            <w:noWrap/>
            <w:hideMark/>
          </w:tcPr>
          <w:p w14:paraId="7C4B0D72" w14:textId="77777777" w:rsidR="00B260C0" w:rsidRPr="00C33609" w:rsidRDefault="00B260C0" w:rsidP="002661CD">
            <w:pPr>
              <w:jc w:val="right"/>
              <w:rPr>
                <w:rFonts w:cs="Calibri"/>
                <w:color w:val="000000"/>
                <w:sz w:val="20"/>
                <w:szCs w:val="20"/>
              </w:rPr>
            </w:pPr>
            <w:r w:rsidRPr="00C33609">
              <w:rPr>
                <w:rFonts w:cs="Calibri"/>
                <w:color w:val="000000"/>
                <w:sz w:val="20"/>
                <w:szCs w:val="20"/>
              </w:rPr>
              <w:t>160000</w:t>
            </w:r>
          </w:p>
        </w:tc>
        <w:tc>
          <w:tcPr>
            <w:tcW w:w="926" w:type="dxa"/>
            <w:shd w:val="clear" w:color="auto" w:fill="auto"/>
            <w:noWrap/>
            <w:hideMark/>
          </w:tcPr>
          <w:p w14:paraId="664FD1E9" w14:textId="77777777" w:rsidR="00B260C0" w:rsidRPr="00C33609" w:rsidRDefault="00B260C0" w:rsidP="002661CD">
            <w:pPr>
              <w:jc w:val="right"/>
              <w:rPr>
                <w:rFonts w:cs="Calibri"/>
                <w:color w:val="000000"/>
                <w:sz w:val="20"/>
                <w:szCs w:val="20"/>
              </w:rPr>
            </w:pPr>
            <w:r w:rsidRPr="00C33609">
              <w:rPr>
                <w:rFonts w:cs="Calibri"/>
                <w:color w:val="000000"/>
                <w:sz w:val="20"/>
                <w:szCs w:val="20"/>
              </w:rPr>
              <w:t>170000</w:t>
            </w:r>
          </w:p>
        </w:tc>
        <w:tc>
          <w:tcPr>
            <w:tcW w:w="926" w:type="dxa"/>
            <w:shd w:val="clear" w:color="auto" w:fill="auto"/>
            <w:noWrap/>
            <w:hideMark/>
          </w:tcPr>
          <w:p w14:paraId="1F34CF75" w14:textId="77777777" w:rsidR="00B260C0" w:rsidRPr="00C33609" w:rsidRDefault="00B260C0" w:rsidP="002661CD">
            <w:pPr>
              <w:jc w:val="right"/>
              <w:rPr>
                <w:rFonts w:cs="Calibri"/>
                <w:color w:val="000000"/>
                <w:sz w:val="20"/>
                <w:szCs w:val="20"/>
              </w:rPr>
            </w:pPr>
            <w:r w:rsidRPr="00C33609">
              <w:rPr>
                <w:rFonts w:cs="Calibri"/>
                <w:color w:val="000000"/>
                <w:sz w:val="20"/>
                <w:szCs w:val="20"/>
              </w:rPr>
              <w:t>170000</w:t>
            </w:r>
          </w:p>
        </w:tc>
        <w:tc>
          <w:tcPr>
            <w:tcW w:w="822" w:type="dxa"/>
            <w:shd w:val="clear" w:color="auto" w:fill="auto"/>
            <w:noWrap/>
            <w:hideMark/>
          </w:tcPr>
          <w:p w14:paraId="48077FFD" w14:textId="77777777" w:rsidR="00B260C0" w:rsidRPr="00C33609" w:rsidRDefault="00B260C0" w:rsidP="002661CD">
            <w:pPr>
              <w:jc w:val="right"/>
              <w:rPr>
                <w:rFonts w:cs="Calibri"/>
                <w:color w:val="000000"/>
                <w:sz w:val="20"/>
                <w:szCs w:val="20"/>
              </w:rPr>
            </w:pPr>
            <w:r w:rsidRPr="00C33609">
              <w:rPr>
                <w:rFonts w:cs="Calibri"/>
                <w:color w:val="000000"/>
                <w:sz w:val="20"/>
                <w:szCs w:val="20"/>
              </w:rPr>
              <w:t>170000</w:t>
            </w:r>
          </w:p>
        </w:tc>
        <w:tc>
          <w:tcPr>
            <w:tcW w:w="1106" w:type="dxa"/>
            <w:shd w:val="clear" w:color="auto" w:fill="auto"/>
            <w:noWrap/>
            <w:hideMark/>
          </w:tcPr>
          <w:p w14:paraId="62C5E77F" w14:textId="77777777" w:rsidR="00B260C0" w:rsidRPr="00C33609" w:rsidRDefault="00B260C0" w:rsidP="002661CD">
            <w:pPr>
              <w:jc w:val="right"/>
              <w:rPr>
                <w:rFonts w:cs="Calibri"/>
                <w:color w:val="000000"/>
                <w:sz w:val="20"/>
                <w:szCs w:val="20"/>
              </w:rPr>
            </w:pPr>
            <w:r w:rsidRPr="00C33609">
              <w:rPr>
                <w:rFonts w:cs="Calibri"/>
                <w:color w:val="000000"/>
                <w:sz w:val="20"/>
                <w:szCs w:val="20"/>
              </w:rPr>
              <w:t>820000</w:t>
            </w:r>
          </w:p>
        </w:tc>
        <w:tc>
          <w:tcPr>
            <w:tcW w:w="2089" w:type="dxa"/>
            <w:shd w:val="clear" w:color="auto" w:fill="auto"/>
            <w:hideMark/>
          </w:tcPr>
          <w:p w14:paraId="5D4EE421" w14:textId="77777777" w:rsidR="00B260C0" w:rsidRPr="00C33609" w:rsidRDefault="00B260C0" w:rsidP="002661CD">
            <w:pPr>
              <w:rPr>
                <w:rFonts w:cs="Calibri"/>
                <w:color w:val="000000"/>
                <w:sz w:val="20"/>
                <w:szCs w:val="20"/>
              </w:rPr>
            </w:pPr>
            <w:r w:rsidRPr="00C33609">
              <w:rPr>
                <w:rFonts w:cs="Calibri"/>
                <w:color w:val="000000"/>
                <w:sz w:val="20"/>
                <w:szCs w:val="20"/>
              </w:rPr>
              <w:t>Includes benefits @ 30% salary</w:t>
            </w:r>
          </w:p>
        </w:tc>
      </w:tr>
      <w:tr w:rsidR="00B260C0" w:rsidRPr="00C33609" w14:paraId="29F11A46" w14:textId="77777777" w:rsidTr="002661CD">
        <w:trPr>
          <w:trHeight w:val="900"/>
        </w:trPr>
        <w:tc>
          <w:tcPr>
            <w:tcW w:w="1370" w:type="dxa"/>
            <w:shd w:val="clear" w:color="auto" w:fill="auto"/>
            <w:hideMark/>
          </w:tcPr>
          <w:p w14:paraId="318BDF61" w14:textId="77777777" w:rsidR="00B260C0" w:rsidRPr="00C33609" w:rsidRDefault="00B260C0" w:rsidP="002661CD">
            <w:pPr>
              <w:rPr>
                <w:rFonts w:cs="Calibri"/>
                <w:b/>
                <w:bCs/>
                <w:color w:val="000000"/>
                <w:sz w:val="20"/>
                <w:szCs w:val="20"/>
              </w:rPr>
            </w:pPr>
            <w:r w:rsidRPr="00C33609">
              <w:rPr>
                <w:rFonts w:cs="Calibri"/>
                <w:b/>
                <w:bCs/>
                <w:color w:val="000000"/>
                <w:sz w:val="20"/>
                <w:szCs w:val="20"/>
              </w:rPr>
              <w:t>Staff</w:t>
            </w:r>
          </w:p>
        </w:tc>
        <w:tc>
          <w:tcPr>
            <w:tcW w:w="875" w:type="dxa"/>
            <w:shd w:val="clear" w:color="auto" w:fill="auto"/>
            <w:noWrap/>
            <w:hideMark/>
          </w:tcPr>
          <w:p w14:paraId="5E055B23" w14:textId="77777777" w:rsidR="00B260C0" w:rsidRPr="00C33609" w:rsidRDefault="00B260C0" w:rsidP="002661CD">
            <w:pPr>
              <w:jc w:val="right"/>
              <w:rPr>
                <w:rFonts w:cs="Calibri"/>
                <w:color w:val="000000"/>
                <w:sz w:val="20"/>
                <w:szCs w:val="20"/>
              </w:rPr>
            </w:pPr>
            <w:r w:rsidRPr="00C33609">
              <w:rPr>
                <w:rFonts w:cs="Calibri"/>
                <w:color w:val="000000"/>
                <w:sz w:val="20"/>
                <w:szCs w:val="20"/>
              </w:rPr>
              <w:t>85000</w:t>
            </w:r>
          </w:p>
        </w:tc>
        <w:tc>
          <w:tcPr>
            <w:tcW w:w="926" w:type="dxa"/>
            <w:shd w:val="clear" w:color="auto" w:fill="auto"/>
            <w:noWrap/>
            <w:hideMark/>
          </w:tcPr>
          <w:p w14:paraId="0E8631D3" w14:textId="77777777" w:rsidR="00B260C0" w:rsidRPr="00C33609" w:rsidRDefault="00B260C0" w:rsidP="002661CD">
            <w:pPr>
              <w:jc w:val="right"/>
              <w:rPr>
                <w:rFonts w:cs="Calibri"/>
                <w:color w:val="000000"/>
                <w:sz w:val="20"/>
                <w:szCs w:val="20"/>
              </w:rPr>
            </w:pPr>
            <w:r w:rsidRPr="00C33609">
              <w:rPr>
                <w:rFonts w:cs="Calibri"/>
                <w:color w:val="000000"/>
                <w:sz w:val="20"/>
                <w:szCs w:val="20"/>
              </w:rPr>
              <w:t>170000</w:t>
            </w:r>
          </w:p>
        </w:tc>
        <w:tc>
          <w:tcPr>
            <w:tcW w:w="926" w:type="dxa"/>
            <w:shd w:val="clear" w:color="auto" w:fill="auto"/>
            <w:noWrap/>
            <w:hideMark/>
          </w:tcPr>
          <w:p w14:paraId="4D32128A" w14:textId="77777777" w:rsidR="00B260C0" w:rsidRPr="00C33609" w:rsidRDefault="00B260C0" w:rsidP="002661CD">
            <w:pPr>
              <w:jc w:val="right"/>
              <w:rPr>
                <w:rFonts w:cs="Calibri"/>
                <w:color w:val="000000"/>
                <w:sz w:val="20"/>
                <w:szCs w:val="20"/>
              </w:rPr>
            </w:pPr>
            <w:r w:rsidRPr="00C33609">
              <w:rPr>
                <w:rFonts w:cs="Calibri"/>
                <w:color w:val="000000"/>
                <w:sz w:val="20"/>
                <w:szCs w:val="20"/>
              </w:rPr>
              <w:t>170000</w:t>
            </w:r>
          </w:p>
        </w:tc>
        <w:tc>
          <w:tcPr>
            <w:tcW w:w="926" w:type="dxa"/>
            <w:shd w:val="clear" w:color="auto" w:fill="auto"/>
            <w:noWrap/>
            <w:hideMark/>
          </w:tcPr>
          <w:p w14:paraId="14FE1C64" w14:textId="77777777" w:rsidR="00B260C0" w:rsidRPr="00C33609" w:rsidRDefault="00B260C0" w:rsidP="002661CD">
            <w:pPr>
              <w:jc w:val="right"/>
              <w:rPr>
                <w:rFonts w:cs="Calibri"/>
                <w:color w:val="000000"/>
                <w:sz w:val="20"/>
                <w:szCs w:val="20"/>
              </w:rPr>
            </w:pPr>
            <w:r w:rsidRPr="00C33609">
              <w:rPr>
                <w:rFonts w:cs="Calibri"/>
                <w:color w:val="000000"/>
                <w:sz w:val="20"/>
                <w:szCs w:val="20"/>
              </w:rPr>
              <w:t>255000</w:t>
            </w:r>
          </w:p>
        </w:tc>
        <w:tc>
          <w:tcPr>
            <w:tcW w:w="822" w:type="dxa"/>
            <w:shd w:val="clear" w:color="auto" w:fill="auto"/>
            <w:noWrap/>
            <w:hideMark/>
          </w:tcPr>
          <w:p w14:paraId="7393DD26" w14:textId="77777777" w:rsidR="00B260C0" w:rsidRPr="00C33609" w:rsidRDefault="00B260C0" w:rsidP="002661CD">
            <w:pPr>
              <w:jc w:val="right"/>
              <w:rPr>
                <w:rFonts w:cs="Calibri"/>
                <w:color w:val="000000"/>
                <w:sz w:val="20"/>
                <w:szCs w:val="20"/>
              </w:rPr>
            </w:pPr>
            <w:r w:rsidRPr="00C33609">
              <w:rPr>
                <w:rFonts w:cs="Calibri"/>
                <w:color w:val="000000"/>
                <w:sz w:val="20"/>
                <w:szCs w:val="20"/>
              </w:rPr>
              <w:t>340000</w:t>
            </w:r>
          </w:p>
        </w:tc>
        <w:tc>
          <w:tcPr>
            <w:tcW w:w="1106" w:type="dxa"/>
            <w:shd w:val="clear" w:color="auto" w:fill="auto"/>
            <w:noWrap/>
            <w:hideMark/>
          </w:tcPr>
          <w:p w14:paraId="0A97FD2F" w14:textId="77777777" w:rsidR="00B260C0" w:rsidRPr="00C33609" w:rsidRDefault="00B260C0" w:rsidP="002661CD">
            <w:pPr>
              <w:jc w:val="right"/>
              <w:rPr>
                <w:rFonts w:cs="Calibri"/>
                <w:color w:val="000000"/>
                <w:sz w:val="20"/>
                <w:szCs w:val="20"/>
              </w:rPr>
            </w:pPr>
            <w:r w:rsidRPr="00C33609">
              <w:rPr>
                <w:rFonts w:cs="Calibri"/>
                <w:color w:val="000000"/>
                <w:sz w:val="20"/>
                <w:szCs w:val="20"/>
              </w:rPr>
              <w:t>1020000</w:t>
            </w:r>
          </w:p>
        </w:tc>
        <w:tc>
          <w:tcPr>
            <w:tcW w:w="2089" w:type="dxa"/>
            <w:shd w:val="clear" w:color="auto" w:fill="auto"/>
            <w:hideMark/>
          </w:tcPr>
          <w:p w14:paraId="03D8A9A7" w14:textId="77777777" w:rsidR="00B260C0" w:rsidRPr="00C33609" w:rsidRDefault="00B260C0" w:rsidP="002661CD">
            <w:pPr>
              <w:rPr>
                <w:rFonts w:cs="Calibri"/>
                <w:color w:val="000000"/>
                <w:sz w:val="20"/>
                <w:szCs w:val="20"/>
              </w:rPr>
            </w:pPr>
            <w:r w:rsidRPr="00C33609">
              <w:rPr>
                <w:rFonts w:cs="Calibri"/>
                <w:color w:val="000000"/>
                <w:sz w:val="20"/>
                <w:szCs w:val="20"/>
              </w:rPr>
              <w:t>Yr1: 1 FTE; Yr2-3: 2 FTEs; Yr4: 3 FTEs; Yr5: 4 FTEs; includes benefits</w:t>
            </w:r>
          </w:p>
        </w:tc>
      </w:tr>
      <w:tr w:rsidR="00B260C0" w:rsidRPr="00C33609" w14:paraId="27E096D8" w14:textId="77777777" w:rsidTr="002661CD">
        <w:trPr>
          <w:trHeight w:val="600"/>
        </w:trPr>
        <w:tc>
          <w:tcPr>
            <w:tcW w:w="1370" w:type="dxa"/>
            <w:shd w:val="clear" w:color="auto" w:fill="auto"/>
            <w:hideMark/>
          </w:tcPr>
          <w:p w14:paraId="2189C886" w14:textId="77777777" w:rsidR="00B260C0" w:rsidRPr="00C33609" w:rsidRDefault="00B260C0" w:rsidP="002661CD">
            <w:pPr>
              <w:rPr>
                <w:rFonts w:cs="Calibri"/>
                <w:b/>
                <w:bCs/>
                <w:color w:val="000000"/>
                <w:sz w:val="20"/>
                <w:szCs w:val="20"/>
              </w:rPr>
            </w:pPr>
            <w:r w:rsidRPr="00C33609">
              <w:rPr>
                <w:rFonts w:cs="Calibri"/>
                <w:b/>
                <w:bCs/>
                <w:color w:val="000000"/>
                <w:sz w:val="20"/>
                <w:szCs w:val="20"/>
              </w:rPr>
              <w:lastRenderedPageBreak/>
              <w:t>Infrastructure</w:t>
            </w:r>
          </w:p>
        </w:tc>
        <w:tc>
          <w:tcPr>
            <w:tcW w:w="875" w:type="dxa"/>
            <w:shd w:val="clear" w:color="auto" w:fill="auto"/>
            <w:noWrap/>
            <w:hideMark/>
          </w:tcPr>
          <w:p w14:paraId="3DDE6F08" w14:textId="77777777" w:rsidR="00B260C0" w:rsidRPr="00C33609" w:rsidRDefault="00B260C0" w:rsidP="002661CD">
            <w:pPr>
              <w:jc w:val="right"/>
              <w:rPr>
                <w:rFonts w:cs="Calibri"/>
                <w:color w:val="000000"/>
                <w:sz w:val="20"/>
                <w:szCs w:val="20"/>
              </w:rPr>
            </w:pPr>
            <w:r w:rsidRPr="00C33609">
              <w:rPr>
                <w:rFonts w:cs="Calibri"/>
                <w:color w:val="000000"/>
                <w:sz w:val="20"/>
                <w:szCs w:val="20"/>
              </w:rPr>
              <w:t>40000</w:t>
            </w:r>
          </w:p>
        </w:tc>
        <w:tc>
          <w:tcPr>
            <w:tcW w:w="926" w:type="dxa"/>
            <w:shd w:val="clear" w:color="auto" w:fill="auto"/>
            <w:noWrap/>
            <w:hideMark/>
          </w:tcPr>
          <w:p w14:paraId="19566225" w14:textId="77777777" w:rsidR="00B260C0" w:rsidRPr="00C33609" w:rsidRDefault="00B260C0" w:rsidP="002661CD">
            <w:pPr>
              <w:jc w:val="right"/>
              <w:rPr>
                <w:rFonts w:cs="Calibri"/>
                <w:color w:val="000000"/>
                <w:sz w:val="20"/>
                <w:szCs w:val="20"/>
              </w:rPr>
            </w:pPr>
            <w:r w:rsidRPr="00C33609">
              <w:rPr>
                <w:rFonts w:cs="Calibri"/>
                <w:color w:val="000000"/>
                <w:sz w:val="20"/>
                <w:szCs w:val="20"/>
              </w:rPr>
              <w:t>50000</w:t>
            </w:r>
          </w:p>
        </w:tc>
        <w:tc>
          <w:tcPr>
            <w:tcW w:w="926" w:type="dxa"/>
            <w:shd w:val="clear" w:color="auto" w:fill="auto"/>
            <w:noWrap/>
            <w:hideMark/>
          </w:tcPr>
          <w:p w14:paraId="21FFEFEC" w14:textId="77777777" w:rsidR="00B260C0" w:rsidRPr="00C33609" w:rsidRDefault="00B260C0" w:rsidP="002661CD">
            <w:pPr>
              <w:jc w:val="right"/>
              <w:rPr>
                <w:rFonts w:cs="Calibri"/>
                <w:color w:val="000000"/>
                <w:sz w:val="20"/>
                <w:szCs w:val="20"/>
              </w:rPr>
            </w:pPr>
            <w:r w:rsidRPr="00C33609">
              <w:rPr>
                <w:rFonts w:cs="Calibri"/>
                <w:color w:val="000000"/>
                <w:sz w:val="20"/>
                <w:szCs w:val="20"/>
              </w:rPr>
              <w:t>75000</w:t>
            </w:r>
          </w:p>
        </w:tc>
        <w:tc>
          <w:tcPr>
            <w:tcW w:w="926" w:type="dxa"/>
            <w:shd w:val="clear" w:color="auto" w:fill="auto"/>
            <w:noWrap/>
            <w:hideMark/>
          </w:tcPr>
          <w:p w14:paraId="72A3F956" w14:textId="77777777" w:rsidR="00B260C0" w:rsidRPr="00C33609" w:rsidRDefault="00B260C0" w:rsidP="002661CD">
            <w:pPr>
              <w:jc w:val="right"/>
              <w:rPr>
                <w:rFonts w:cs="Calibri"/>
                <w:color w:val="000000"/>
                <w:sz w:val="20"/>
                <w:szCs w:val="20"/>
              </w:rPr>
            </w:pPr>
            <w:r w:rsidRPr="00C33609">
              <w:rPr>
                <w:rFonts w:cs="Calibri"/>
                <w:color w:val="000000"/>
                <w:sz w:val="20"/>
                <w:szCs w:val="20"/>
              </w:rPr>
              <w:t>75000</w:t>
            </w:r>
          </w:p>
        </w:tc>
        <w:tc>
          <w:tcPr>
            <w:tcW w:w="822" w:type="dxa"/>
            <w:shd w:val="clear" w:color="auto" w:fill="auto"/>
            <w:noWrap/>
            <w:hideMark/>
          </w:tcPr>
          <w:p w14:paraId="17A158D2" w14:textId="77777777" w:rsidR="00B260C0" w:rsidRPr="00C33609" w:rsidRDefault="00B260C0" w:rsidP="002661CD">
            <w:pPr>
              <w:jc w:val="right"/>
              <w:rPr>
                <w:rFonts w:cs="Calibri"/>
                <w:color w:val="000000"/>
                <w:sz w:val="20"/>
                <w:szCs w:val="20"/>
              </w:rPr>
            </w:pPr>
            <w:r w:rsidRPr="00C33609">
              <w:rPr>
                <w:rFonts w:cs="Calibri"/>
                <w:color w:val="000000"/>
                <w:sz w:val="20"/>
                <w:szCs w:val="20"/>
              </w:rPr>
              <w:t>75000</w:t>
            </w:r>
          </w:p>
        </w:tc>
        <w:tc>
          <w:tcPr>
            <w:tcW w:w="1106" w:type="dxa"/>
            <w:shd w:val="clear" w:color="auto" w:fill="auto"/>
            <w:noWrap/>
            <w:hideMark/>
          </w:tcPr>
          <w:p w14:paraId="23D93E71" w14:textId="77777777" w:rsidR="00B260C0" w:rsidRPr="00C33609" w:rsidRDefault="00B260C0" w:rsidP="002661CD">
            <w:pPr>
              <w:jc w:val="right"/>
              <w:rPr>
                <w:rFonts w:cs="Calibri"/>
                <w:color w:val="000000"/>
                <w:sz w:val="20"/>
                <w:szCs w:val="20"/>
              </w:rPr>
            </w:pPr>
            <w:r w:rsidRPr="00C33609">
              <w:rPr>
                <w:rFonts w:cs="Calibri"/>
                <w:color w:val="000000"/>
                <w:sz w:val="20"/>
                <w:szCs w:val="20"/>
              </w:rPr>
              <w:t>315000</w:t>
            </w:r>
          </w:p>
        </w:tc>
        <w:tc>
          <w:tcPr>
            <w:tcW w:w="2089" w:type="dxa"/>
            <w:shd w:val="clear" w:color="auto" w:fill="auto"/>
            <w:hideMark/>
          </w:tcPr>
          <w:p w14:paraId="603D39D5" w14:textId="77777777" w:rsidR="00B260C0" w:rsidRPr="00C33609" w:rsidRDefault="00B260C0" w:rsidP="002661CD">
            <w:pPr>
              <w:rPr>
                <w:rFonts w:cs="Calibri"/>
                <w:color w:val="000000"/>
                <w:sz w:val="20"/>
                <w:szCs w:val="20"/>
              </w:rPr>
            </w:pPr>
            <w:r w:rsidRPr="00C33609">
              <w:rPr>
                <w:rFonts w:cs="Calibri"/>
                <w:color w:val="000000"/>
                <w:sz w:val="20"/>
                <w:szCs w:val="20"/>
              </w:rPr>
              <w:t>IT, equipment, office, expenses</w:t>
            </w:r>
          </w:p>
        </w:tc>
      </w:tr>
      <w:tr w:rsidR="00B260C0" w:rsidRPr="00C33609" w14:paraId="4EC31FC8" w14:textId="77777777" w:rsidTr="002661CD">
        <w:trPr>
          <w:trHeight w:val="2330"/>
        </w:trPr>
        <w:tc>
          <w:tcPr>
            <w:tcW w:w="1370" w:type="dxa"/>
            <w:shd w:val="clear" w:color="auto" w:fill="auto"/>
            <w:hideMark/>
          </w:tcPr>
          <w:p w14:paraId="6E07969C" w14:textId="77777777" w:rsidR="00B260C0" w:rsidRPr="00C33609" w:rsidRDefault="00B260C0" w:rsidP="002661CD">
            <w:pPr>
              <w:rPr>
                <w:rFonts w:cs="Calibri"/>
                <w:b/>
                <w:bCs/>
                <w:color w:val="000000"/>
                <w:sz w:val="20"/>
                <w:szCs w:val="20"/>
              </w:rPr>
            </w:pPr>
            <w:r w:rsidRPr="00C33609">
              <w:rPr>
                <w:rFonts w:cs="Calibri"/>
                <w:b/>
                <w:bCs/>
                <w:color w:val="000000"/>
                <w:sz w:val="20"/>
                <w:szCs w:val="20"/>
              </w:rPr>
              <w:t>Annual Convening</w:t>
            </w:r>
          </w:p>
        </w:tc>
        <w:tc>
          <w:tcPr>
            <w:tcW w:w="875" w:type="dxa"/>
            <w:shd w:val="clear" w:color="auto" w:fill="auto"/>
            <w:noWrap/>
            <w:hideMark/>
          </w:tcPr>
          <w:p w14:paraId="3429DD14" w14:textId="77777777" w:rsidR="00B260C0" w:rsidRPr="00C33609" w:rsidRDefault="00B260C0" w:rsidP="002661CD">
            <w:pPr>
              <w:jc w:val="right"/>
              <w:rPr>
                <w:rFonts w:cs="Calibri"/>
                <w:color w:val="000000"/>
                <w:sz w:val="20"/>
                <w:szCs w:val="20"/>
              </w:rPr>
            </w:pPr>
            <w:r w:rsidRPr="00C33609">
              <w:rPr>
                <w:rFonts w:cs="Calibri"/>
                <w:color w:val="000000"/>
                <w:sz w:val="20"/>
                <w:szCs w:val="20"/>
              </w:rPr>
              <w:t>120000</w:t>
            </w:r>
          </w:p>
        </w:tc>
        <w:tc>
          <w:tcPr>
            <w:tcW w:w="926" w:type="dxa"/>
            <w:shd w:val="clear" w:color="auto" w:fill="auto"/>
            <w:noWrap/>
            <w:hideMark/>
          </w:tcPr>
          <w:p w14:paraId="45130C3A" w14:textId="77777777" w:rsidR="00B260C0" w:rsidRPr="00C33609" w:rsidRDefault="00B260C0" w:rsidP="002661CD">
            <w:pPr>
              <w:jc w:val="right"/>
              <w:rPr>
                <w:rFonts w:cs="Calibri"/>
                <w:color w:val="000000"/>
                <w:sz w:val="20"/>
                <w:szCs w:val="20"/>
              </w:rPr>
            </w:pPr>
            <w:r w:rsidRPr="00C33609">
              <w:rPr>
                <w:rFonts w:cs="Calibri"/>
                <w:color w:val="000000"/>
                <w:sz w:val="20"/>
                <w:szCs w:val="20"/>
              </w:rPr>
              <w:t>200000</w:t>
            </w:r>
          </w:p>
        </w:tc>
        <w:tc>
          <w:tcPr>
            <w:tcW w:w="926" w:type="dxa"/>
            <w:shd w:val="clear" w:color="auto" w:fill="auto"/>
            <w:noWrap/>
            <w:hideMark/>
          </w:tcPr>
          <w:p w14:paraId="06C8DD3F" w14:textId="77777777" w:rsidR="00B260C0" w:rsidRPr="00C33609" w:rsidRDefault="00B260C0" w:rsidP="002661CD">
            <w:pPr>
              <w:jc w:val="right"/>
              <w:rPr>
                <w:rFonts w:cs="Calibri"/>
                <w:color w:val="000000"/>
                <w:sz w:val="20"/>
                <w:szCs w:val="20"/>
              </w:rPr>
            </w:pPr>
            <w:r w:rsidRPr="00C33609">
              <w:rPr>
                <w:rFonts w:cs="Calibri"/>
                <w:color w:val="000000"/>
                <w:sz w:val="20"/>
                <w:szCs w:val="20"/>
              </w:rPr>
              <w:t>300000</w:t>
            </w:r>
          </w:p>
        </w:tc>
        <w:tc>
          <w:tcPr>
            <w:tcW w:w="926" w:type="dxa"/>
            <w:shd w:val="clear" w:color="auto" w:fill="auto"/>
            <w:noWrap/>
            <w:hideMark/>
          </w:tcPr>
          <w:p w14:paraId="62DC7AFF" w14:textId="77777777" w:rsidR="00B260C0" w:rsidRPr="00C33609" w:rsidRDefault="00B260C0" w:rsidP="002661CD">
            <w:pPr>
              <w:jc w:val="right"/>
              <w:rPr>
                <w:rFonts w:cs="Calibri"/>
                <w:color w:val="000000"/>
                <w:sz w:val="20"/>
                <w:szCs w:val="20"/>
              </w:rPr>
            </w:pPr>
            <w:r w:rsidRPr="00C33609">
              <w:rPr>
                <w:rFonts w:cs="Calibri"/>
                <w:color w:val="000000"/>
                <w:sz w:val="20"/>
                <w:szCs w:val="20"/>
              </w:rPr>
              <w:t>400000</w:t>
            </w:r>
          </w:p>
        </w:tc>
        <w:tc>
          <w:tcPr>
            <w:tcW w:w="822" w:type="dxa"/>
            <w:shd w:val="clear" w:color="auto" w:fill="auto"/>
            <w:noWrap/>
            <w:hideMark/>
          </w:tcPr>
          <w:p w14:paraId="3F6782EC" w14:textId="77777777" w:rsidR="00B260C0" w:rsidRPr="00C33609" w:rsidRDefault="00B260C0" w:rsidP="002661CD">
            <w:pPr>
              <w:jc w:val="right"/>
              <w:rPr>
                <w:rFonts w:cs="Calibri"/>
                <w:color w:val="000000"/>
                <w:sz w:val="20"/>
                <w:szCs w:val="20"/>
              </w:rPr>
            </w:pPr>
            <w:r w:rsidRPr="00C33609">
              <w:rPr>
                <w:rFonts w:cs="Calibri"/>
                <w:color w:val="000000"/>
                <w:sz w:val="20"/>
                <w:szCs w:val="20"/>
              </w:rPr>
              <w:t>400000</w:t>
            </w:r>
          </w:p>
        </w:tc>
        <w:tc>
          <w:tcPr>
            <w:tcW w:w="1106" w:type="dxa"/>
            <w:shd w:val="clear" w:color="auto" w:fill="auto"/>
            <w:noWrap/>
            <w:hideMark/>
          </w:tcPr>
          <w:p w14:paraId="01165C00" w14:textId="77777777" w:rsidR="00B260C0" w:rsidRPr="00C33609" w:rsidRDefault="00B260C0" w:rsidP="002661CD">
            <w:pPr>
              <w:jc w:val="right"/>
              <w:rPr>
                <w:rFonts w:cs="Calibri"/>
                <w:color w:val="000000"/>
                <w:sz w:val="20"/>
                <w:szCs w:val="20"/>
              </w:rPr>
            </w:pPr>
            <w:r w:rsidRPr="00C33609">
              <w:rPr>
                <w:rFonts w:cs="Calibri"/>
                <w:color w:val="000000"/>
                <w:sz w:val="20"/>
                <w:szCs w:val="20"/>
              </w:rPr>
              <w:t>1420000</w:t>
            </w:r>
          </w:p>
        </w:tc>
        <w:tc>
          <w:tcPr>
            <w:tcW w:w="2089" w:type="dxa"/>
            <w:shd w:val="clear" w:color="auto" w:fill="auto"/>
            <w:hideMark/>
          </w:tcPr>
          <w:p w14:paraId="51D40B52" w14:textId="77777777" w:rsidR="00B260C0" w:rsidRPr="00C33609" w:rsidRDefault="00B260C0" w:rsidP="002661CD">
            <w:pPr>
              <w:rPr>
                <w:rFonts w:cs="Calibri"/>
                <w:color w:val="000000"/>
                <w:sz w:val="20"/>
                <w:szCs w:val="20"/>
              </w:rPr>
            </w:pPr>
            <w:r w:rsidRPr="00C33609">
              <w:rPr>
                <w:rFonts w:cs="Calibri"/>
                <w:color w:val="000000"/>
                <w:sz w:val="20"/>
                <w:szCs w:val="20"/>
              </w:rPr>
              <w:t xml:space="preserve">$2,000 per member; </w:t>
            </w:r>
            <w:proofErr w:type="spellStart"/>
            <w:r w:rsidRPr="00C33609">
              <w:rPr>
                <w:rFonts w:cs="Calibri"/>
                <w:color w:val="000000"/>
                <w:sz w:val="20"/>
                <w:szCs w:val="20"/>
              </w:rPr>
              <w:t>Yr</w:t>
            </w:r>
            <w:proofErr w:type="spellEnd"/>
            <w:r w:rsidRPr="00C33609">
              <w:rPr>
                <w:rFonts w:cs="Calibri"/>
                <w:color w:val="000000"/>
                <w:sz w:val="20"/>
                <w:szCs w:val="20"/>
              </w:rPr>
              <w:t xml:space="preserve"> 1=60 members; Yr2=100 members; </w:t>
            </w:r>
            <w:proofErr w:type="spellStart"/>
            <w:r w:rsidRPr="00C33609">
              <w:rPr>
                <w:rFonts w:cs="Calibri"/>
                <w:color w:val="000000"/>
                <w:sz w:val="20"/>
                <w:szCs w:val="20"/>
              </w:rPr>
              <w:t>Yr</w:t>
            </w:r>
            <w:proofErr w:type="spellEnd"/>
            <w:r w:rsidRPr="00C33609">
              <w:rPr>
                <w:rFonts w:cs="Calibri"/>
                <w:color w:val="000000"/>
                <w:sz w:val="20"/>
                <w:szCs w:val="20"/>
              </w:rPr>
              <w:t xml:space="preserve"> 3=150 members; </w:t>
            </w:r>
            <w:proofErr w:type="spellStart"/>
            <w:r w:rsidRPr="00C33609">
              <w:rPr>
                <w:rFonts w:cs="Calibri"/>
                <w:color w:val="000000"/>
                <w:sz w:val="20"/>
                <w:szCs w:val="20"/>
              </w:rPr>
              <w:t>Yrs</w:t>
            </w:r>
            <w:proofErr w:type="spellEnd"/>
            <w:r w:rsidRPr="00C33609">
              <w:rPr>
                <w:rFonts w:cs="Calibri"/>
                <w:color w:val="000000"/>
                <w:sz w:val="20"/>
                <w:szCs w:val="20"/>
              </w:rPr>
              <w:t xml:space="preserve"> 4-5: 200 members; assumes 1 annual convening or equivalent (</w:t>
            </w:r>
            <w:proofErr w:type="spellStart"/>
            <w:proofErr w:type="gramStart"/>
            <w:r w:rsidRPr="00C33609">
              <w:rPr>
                <w:rFonts w:cs="Calibri"/>
                <w:color w:val="000000"/>
                <w:sz w:val="20"/>
                <w:szCs w:val="20"/>
              </w:rPr>
              <w:t>e.,g</w:t>
            </w:r>
            <w:proofErr w:type="spellEnd"/>
            <w:r w:rsidRPr="00C33609">
              <w:rPr>
                <w:rFonts w:cs="Calibri"/>
                <w:color w:val="000000"/>
                <w:sz w:val="20"/>
                <w:szCs w:val="20"/>
              </w:rPr>
              <w:t>,,</w:t>
            </w:r>
            <w:proofErr w:type="gramEnd"/>
            <w:r w:rsidRPr="00C33609">
              <w:rPr>
                <w:rFonts w:cs="Calibri"/>
                <w:color w:val="000000"/>
                <w:sz w:val="20"/>
                <w:szCs w:val="20"/>
              </w:rPr>
              <w:t xml:space="preserve"> multiple regional meetings)</w:t>
            </w:r>
          </w:p>
        </w:tc>
      </w:tr>
      <w:tr w:rsidR="00B260C0" w:rsidRPr="00C33609" w14:paraId="0B85D24B" w14:textId="77777777" w:rsidTr="002661CD">
        <w:trPr>
          <w:trHeight w:val="2150"/>
        </w:trPr>
        <w:tc>
          <w:tcPr>
            <w:tcW w:w="1370" w:type="dxa"/>
            <w:shd w:val="clear" w:color="auto" w:fill="auto"/>
            <w:hideMark/>
          </w:tcPr>
          <w:p w14:paraId="2EA71C8A" w14:textId="77777777" w:rsidR="00B260C0" w:rsidRPr="00C33609" w:rsidRDefault="00B260C0" w:rsidP="002661CD">
            <w:pPr>
              <w:rPr>
                <w:rFonts w:cs="Calibri"/>
                <w:b/>
                <w:bCs/>
                <w:color w:val="000000"/>
                <w:sz w:val="20"/>
                <w:szCs w:val="20"/>
              </w:rPr>
            </w:pPr>
            <w:r w:rsidRPr="00C33609">
              <w:rPr>
                <w:rFonts w:cs="Calibri"/>
                <w:b/>
                <w:bCs/>
                <w:color w:val="000000"/>
                <w:sz w:val="20"/>
                <w:szCs w:val="20"/>
              </w:rPr>
              <w:t>Member Stipends</w:t>
            </w:r>
          </w:p>
        </w:tc>
        <w:tc>
          <w:tcPr>
            <w:tcW w:w="875" w:type="dxa"/>
            <w:shd w:val="clear" w:color="auto" w:fill="auto"/>
            <w:noWrap/>
            <w:hideMark/>
          </w:tcPr>
          <w:p w14:paraId="5BFEAEA7" w14:textId="77777777" w:rsidR="00B260C0" w:rsidRPr="00C33609" w:rsidRDefault="00B260C0" w:rsidP="002661CD">
            <w:pPr>
              <w:jc w:val="right"/>
              <w:rPr>
                <w:rFonts w:cs="Calibri"/>
                <w:color w:val="000000"/>
                <w:sz w:val="20"/>
                <w:szCs w:val="20"/>
              </w:rPr>
            </w:pPr>
            <w:r w:rsidRPr="00C33609">
              <w:rPr>
                <w:rFonts w:cs="Calibri"/>
                <w:color w:val="000000"/>
                <w:sz w:val="20"/>
                <w:szCs w:val="20"/>
              </w:rPr>
              <w:t>180000</w:t>
            </w:r>
          </w:p>
        </w:tc>
        <w:tc>
          <w:tcPr>
            <w:tcW w:w="926" w:type="dxa"/>
            <w:shd w:val="clear" w:color="auto" w:fill="auto"/>
            <w:noWrap/>
            <w:hideMark/>
          </w:tcPr>
          <w:p w14:paraId="547F124F" w14:textId="77777777" w:rsidR="00B260C0" w:rsidRPr="00C33609" w:rsidRDefault="00B260C0" w:rsidP="002661CD">
            <w:pPr>
              <w:jc w:val="right"/>
              <w:rPr>
                <w:rFonts w:cs="Calibri"/>
                <w:color w:val="000000"/>
                <w:sz w:val="20"/>
                <w:szCs w:val="20"/>
              </w:rPr>
            </w:pPr>
            <w:r w:rsidRPr="00C33609">
              <w:rPr>
                <w:rFonts w:cs="Calibri"/>
                <w:color w:val="000000"/>
                <w:sz w:val="20"/>
                <w:szCs w:val="20"/>
              </w:rPr>
              <w:t>200000</w:t>
            </w:r>
          </w:p>
        </w:tc>
        <w:tc>
          <w:tcPr>
            <w:tcW w:w="926" w:type="dxa"/>
            <w:shd w:val="clear" w:color="auto" w:fill="auto"/>
            <w:noWrap/>
            <w:hideMark/>
          </w:tcPr>
          <w:p w14:paraId="29EE5224" w14:textId="77777777" w:rsidR="00B260C0" w:rsidRPr="00C33609" w:rsidRDefault="00B260C0" w:rsidP="002661CD">
            <w:pPr>
              <w:jc w:val="right"/>
              <w:rPr>
                <w:rFonts w:cs="Calibri"/>
                <w:color w:val="000000"/>
                <w:sz w:val="20"/>
                <w:szCs w:val="20"/>
              </w:rPr>
            </w:pPr>
            <w:r w:rsidRPr="00C33609">
              <w:rPr>
                <w:rFonts w:cs="Calibri"/>
                <w:color w:val="000000"/>
                <w:sz w:val="20"/>
                <w:szCs w:val="20"/>
              </w:rPr>
              <w:t>450000</w:t>
            </w:r>
          </w:p>
        </w:tc>
        <w:tc>
          <w:tcPr>
            <w:tcW w:w="926" w:type="dxa"/>
            <w:shd w:val="clear" w:color="auto" w:fill="auto"/>
            <w:noWrap/>
            <w:hideMark/>
          </w:tcPr>
          <w:p w14:paraId="36D20911" w14:textId="77777777" w:rsidR="00B260C0" w:rsidRPr="00C33609" w:rsidRDefault="00B260C0" w:rsidP="002661CD">
            <w:pPr>
              <w:jc w:val="right"/>
              <w:rPr>
                <w:rFonts w:cs="Calibri"/>
                <w:color w:val="000000"/>
                <w:sz w:val="20"/>
                <w:szCs w:val="20"/>
              </w:rPr>
            </w:pPr>
            <w:r w:rsidRPr="00C33609">
              <w:rPr>
                <w:rFonts w:cs="Calibri"/>
                <w:color w:val="000000"/>
                <w:sz w:val="20"/>
                <w:szCs w:val="20"/>
              </w:rPr>
              <w:t>600000</w:t>
            </w:r>
          </w:p>
        </w:tc>
        <w:tc>
          <w:tcPr>
            <w:tcW w:w="822" w:type="dxa"/>
            <w:shd w:val="clear" w:color="auto" w:fill="auto"/>
            <w:noWrap/>
            <w:hideMark/>
          </w:tcPr>
          <w:p w14:paraId="32B2B0C9" w14:textId="77777777" w:rsidR="00B260C0" w:rsidRPr="00C33609" w:rsidRDefault="00B260C0" w:rsidP="002661CD">
            <w:pPr>
              <w:jc w:val="right"/>
              <w:rPr>
                <w:rFonts w:cs="Calibri"/>
                <w:color w:val="000000"/>
                <w:sz w:val="20"/>
                <w:szCs w:val="20"/>
              </w:rPr>
            </w:pPr>
            <w:r w:rsidRPr="00C33609">
              <w:rPr>
                <w:rFonts w:cs="Calibri"/>
                <w:color w:val="000000"/>
                <w:sz w:val="20"/>
                <w:szCs w:val="20"/>
              </w:rPr>
              <w:t>600000</w:t>
            </w:r>
          </w:p>
        </w:tc>
        <w:tc>
          <w:tcPr>
            <w:tcW w:w="1106" w:type="dxa"/>
            <w:shd w:val="clear" w:color="auto" w:fill="auto"/>
            <w:noWrap/>
            <w:hideMark/>
          </w:tcPr>
          <w:p w14:paraId="0C34E02C" w14:textId="77777777" w:rsidR="00B260C0" w:rsidRPr="00C33609" w:rsidRDefault="00B260C0" w:rsidP="002661CD">
            <w:pPr>
              <w:jc w:val="right"/>
              <w:rPr>
                <w:rFonts w:cs="Calibri"/>
                <w:color w:val="000000"/>
                <w:sz w:val="20"/>
                <w:szCs w:val="20"/>
              </w:rPr>
            </w:pPr>
            <w:r w:rsidRPr="00C33609">
              <w:rPr>
                <w:rFonts w:cs="Calibri"/>
                <w:color w:val="000000"/>
                <w:sz w:val="20"/>
                <w:szCs w:val="20"/>
              </w:rPr>
              <w:t>2030000</w:t>
            </w:r>
          </w:p>
        </w:tc>
        <w:tc>
          <w:tcPr>
            <w:tcW w:w="2089" w:type="dxa"/>
            <w:shd w:val="clear" w:color="auto" w:fill="auto"/>
            <w:hideMark/>
          </w:tcPr>
          <w:p w14:paraId="6388A098" w14:textId="77777777" w:rsidR="00B260C0" w:rsidRPr="00C33609" w:rsidRDefault="00B260C0" w:rsidP="002661CD">
            <w:pPr>
              <w:rPr>
                <w:rFonts w:cs="Calibri"/>
                <w:color w:val="000000"/>
                <w:sz w:val="20"/>
                <w:szCs w:val="20"/>
              </w:rPr>
            </w:pPr>
            <w:r w:rsidRPr="00C33609">
              <w:rPr>
                <w:rFonts w:cs="Calibri"/>
                <w:color w:val="000000"/>
                <w:sz w:val="20"/>
                <w:szCs w:val="20"/>
              </w:rPr>
              <w:t xml:space="preserve">$3,000 per member (6 days @ $500/day); </w:t>
            </w:r>
            <w:proofErr w:type="spellStart"/>
            <w:r w:rsidRPr="00C33609">
              <w:rPr>
                <w:rFonts w:cs="Calibri"/>
                <w:color w:val="000000"/>
                <w:sz w:val="20"/>
                <w:szCs w:val="20"/>
              </w:rPr>
              <w:t>Yr</w:t>
            </w:r>
            <w:proofErr w:type="spellEnd"/>
            <w:r w:rsidRPr="00C33609">
              <w:rPr>
                <w:rFonts w:cs="Calibri"/>
                <w:color w:val="000000"/>
                <w:sz w:val="20"/>
                <w:szCs w:val="20"/>
              </w:rPr>
              <w:t xml:space="preserve"> 1=60 members; Yr2=100 members; </w:t>
            </w:r>
            <w:proofErr w:type="spellStart"/>
            <w:r w:rsidRPr="00C33609">
              <w:rPr>
                <w:rFonts w:cs="Calibri"/>
                <w:color w:val="000000"/>
                <w:sz w:val="20"/>
                <w:szCs w:val="20"/>
              </w:rPr>
              <w:t>Yr</w:t>
            </w:r>
            <w:proofErr w:type="spellEnd"/>
            <w:r w:rsidRPr="00C33609">
              <w:rPr>
                <w:rFonts w:cs="Calibri"/>
                <w:color w:val="000000"/>
                <w:sz w:val="20"/>
                <w:szCs w:val="20"/>
              </w:rPr>
              <w:t xml:space="preserve"> 3=150 members; </w:t>
            </w:r>
            <w:proofErr w:type="spellStart"/>
            <w:r w:rsidRPr="00C33609">
              <w:rPr>
                <w:rFonts w:cs="Calibri"/>
                <w:color w:val="000000"/>
                <w:sz w:val="20"/>
                <w:szCs w:val="20"/>
              </w:rPr>
              <w:t>Yrs</w:t>
            </w:r>
            <w:proofErr w:type="spellEnd"/>
            <w:r w:rsidRPr="00C33609">
              <w:rPr>
                <w:rFonts w:cs="Calibri"/>
                <w:color w:val="000000"/>
                <w:sz w:val="20"/>
                <w:szCs w:val="20"/>
              </w:rPr>
              <w:t xml:space="preserve"> 4-5: 200 members; assumes 100% of members receive stipends</w:t>
            </w:r>
          </w:p>
        </w:tc>
      </w:tr>
      <w:tr w:rsidR="00B260C0" w:rsidRPr="00C33609" w14:paraId="5E6D366B" w14:textId="77777777" w:rsidTr="002661CD">
        <w:trPr>
          <w:trHeight w:val="600"/>
        </w:trPr>
        <w:tc>
          <w:tcPr>
            <w:tcW w:w="1370" w:type="dxa"/>
            <w:shd w:val="clear" w:color="auto" w:fill="auto"/>
            <w:hideMark/>
          </w:tcPr>
          <w:p w14:paraId="27E15061" w14:textId="77777777" w:rsidR="00B260C0" w:rsidRPr="00C33609" w:rsidRDefault="00B260C0" w:rsidP="002661CD">
            <w:pPr>
              <w:rPr>
                <w:rFonts w:cs="Calibri"/>
                <w:b/>
                <w:bCs/>
                <w:color w:val="000000"/>
                <w:sz w:val="20"/>
                <w:szCs w:val="20"/>
              </w:rPr>
            </w:pPr>
            <w:r w:rsidRPr="00C33609">
              <w:rPr>
                <w:rFonts w:cs="Calibri"/>
                <w:b/>
                <w:bCs/>
                <w:color w:val="000000"/>
                <w:sz w:val="20"/>
                <w:szCs w:val="20"/>
              </w:rPr>
              <w:t>Collaborative Projects</w:t>
            </w:r>
          </w:p>
        </w:tc>
        <w:tc>
          <w:tcPr>
            <w:tcW w:w="875" w:type="dxa"/>
            <w:shd w:val="clear" w:color="auto" w:fill="auto"/>
            <w:noWrap/>
            <w:hideMark/>
          </w:tcPr>
          <w:p w14:paraId="09D55782" w14:textId="77777777" w:rsidR="00B260C0" w:rsidRPr="00C33609" w:rsidRDefault="00B260C0" w:rsidP="002661CD">
            <w:pPr>
              <w:jc w:val="right"/>
              <w:rPr>
                <w:rFonts w:cs="Calibri"/>
                <w:color w:val="000000"/>
                <w:sz w:val="20"/>
                <w:szCs w:val="20"/>
              </w:rPr>
            </w:pPr>
            <w:r w:rsidRPr="00C33609">
              <w:rPr>
                <w:rFonts w:cs="Calibri"/>
                <w:color w:val="000000"/>
                <w:sz w:val="20"/>
                <w:szCs w:val="20"/>
              </w:rPr>
              <w:t>100000</w:t>
            </w:r>
          </w:p>
        </w:tc>
        <w:tc>
          <w:tcPr>
            <w:tcW w:w="926" w:type="dxa"/>
            <w:shd w:val="clear" w:color="auto" w:fill="auto"/>
            <w:noWrap/>
            <w:hideMark/>
          </w:tcPr>
          <w:p w14:paraId="588AC787" w14:textId="77777777" w:rsidR="00B260C0" w:rsidRPr="00C33609" w:rsidRDefault="00B260C0" w:rsidP="002661CD">
            <w:pPr>
              <w:jc w:val="right"/>
              <w:rPr>
                <w:rFonts w:cs="Calibri"/>
                <w:color w:val="000000"/>
                <w:sz w:val="20"/>
                <w:szCs w:val="20"/>
              </w:rPr>
            </w:pPr>
            <w:r w:rsidRPr="00C33609">
              <w:rPr>
                <w:rFonts w:cs="Calibri"/>
                <w:color w:val="000000"/>
                <w:sz w:val="20"/>
                <w:szCs w:val="20"/>
              </w:rPr>
              <w:t>250000</w:t>
            </w:r>
          </w:p>
        </w:tc>
        <w:tc>
          <w:tcPr>
            <w:tcW w:w="926" w:type="dxa"/>
            <w:shd w:val="clear" w:color="auto" w:fill="auto"/>
            <w:noWrap/>
            <w:hideMark/>
          </w:tcPr>
          <w:p w14:paraId="5F1573D0" w14:textId="77777777" w:rsidR="00B260C0" w:rsidRPr="00C33609" w:rsidRDefault="00B260C0" w:rsidP="002661CD">
            <w:pPr>
              <w:jc w:val="right"/>
              <w:rPr>
                <w:rFonts w:cs="Calibri"/>
                <w:color w:val="000000"/>
                <w:sz w:val="20"/>
                <w:szCs w:val="20"/>
              </w:rPr>
            </w:pPr>
            <w:r w:rsidRPr="00C33609">
              <w:rPr>
                <w:rFonts w:cs="Calibri"/>
                <w:color w:val="000000"/>
                <w:sz w:val="20"/>
                <w:szCs w:val="20"/>
              </w:rPr>
              <w:t>400000</w:t>
            </w:r>
          </w:p>
        </w:tc>
        <w:tc>
          <w:tcPr>
            <w:tcW w:w="926" w:type="dxa"/>
            <w:shd w:val="clear" w:color="auto" w:fill="auto"/>
            <w:noWrap/>
            <w:hideMark/>
          </w:tcPr>
          <w:p w14:paraId="5508D05F" w14:textId="77777777" w:rsidR="00B260C0" w:rsidRPr="00C33609" w:rsidRDefault="00B260C0" w:rsidP="002661CD">
            <w:pPr>
              <w:jc w:val="right"/>
              <w:rPr>
                <w:rFonts w:cs="Calibri"/>
                <w:color w:val="000000"/>
                <w:sz w:val="20"/>
                <w:szCs w:val="20"/>
              </w:rPr>
            </w:pPr>
            <w:r w:rsidRPr="00C33609">
              <w:rPr>
                <w:rFonts w:cs="Calibri"/>
                <w:color w:val="000000"/>
                <w:sz w:val="20"/>
                <w:szCs w:val="20"/>
              </w:rPr>
              <w:t>500000</w:t>
            </w:r>
          </w:p>
        </w:tc>
        <w:tc>
          <w:tcPr>
            <w:tcW w:w="822" w:type="dxa"/>
            <w:shd w:val="clear" w:color="auto" w:fill="auto"/>
            <w:noWrap/>
            <w:hideMark/>
          </w:tcPr>
          <w:p w14:paraId="4E2EB63C" w14:textId="77777777" w:rsidR="00B260C0" w:rsidRPr="00C33609" w:rsidRDefault="00B260C0" w:rsidP="002661CD">
            <w:pPr>
              <w:jc w:val="right"/>
              <w:rPr>
                <w:rFonts w:cs="Calibri"/>
                <w:color w:val="000000"/>
                <w:sz w:val="20"/>
                <w:szCs w:val="20"/>
              </w:rPr>
            </w:pPr>
            <w:r w:rsidRPr="00C33609">
              <w:rPr>
                <w:rFonts w:cs="Calibri"/>
                <w:color w:val="000000"/>
                <w:sz w:val="20"/>
                <w:szCs w:val="20"/>
              </w:rPr>
              <w:t>500000</w:t>
            </w:r>
          </w:p>
        </w:tc>
        <w:tc>
          <w:tcPr>
            <w:tcW w:w="1106" w:type="dxa"/>
            <w:shd w:val="clear" w:color="auto" w:fill="auto"/>
            <w:noWrap/>
            <w:hideMark/>
          </w:tcPr>
          <w:p w14:paraId="711200F3" w14:textId="77777777" w:rsidR="00B260C0" w:rsidRPr="00C33609" w:rsidRDefault="00B260C0" w:rsidP="002661CD">
            <w:pPr>
              <w:jc w:val="right"/>
              <w:rPr>
                <w:rFonts w:cs="Calibri"/>
                <w:color w:val="000000"/>
                <w:sz w:val="20"/>
                <w:szCs w:val="20"/>
              </w:rPr>
            </w:pPr>
            <w:r w:rsidRPr="00C33609">
              <w:rPr>
                <w:rFonts w:cs="Calibri"/>
                <w:color w:val="000000"/>
                <w:sz w:val="20"/>
                <w:szCs w:val="20"/>
              </w:rPr>
              <w:t>1750000</w:t>
            </w:r>
          </w:p>
        </w:tc>
        <w:tc>
          <w:tcPr>
            <w:tcW w:w="2089" w:type="dxa"/>
            <w:shd w:val="clear" w:color="auto" w:fill="auto"/>
            <w:hideMark/>
          </w:tcPr>
          <w:p w14:paraId="5ABB4C5B" w14:textId="77777777" w:rsidR="00B260C0" w:rsidRPr="00C33609" w:rsidRDefault="00B260C0" w:rsidP="002661CD">
            <w:pPr>
              <w:rPr>
                <w:rFonts w:cs="Calibri"/>
                <w:color w:val="000000"/>
                <w:sz w:val="20"/>
                <w:szCs w:val="20"/>
              </w:rPr>
            </w:pPr>
            <w:r w:rsidRPr="00C33609">
              <w:rPr>
                <w:rFonts w:cs="Calibri"/>
                <w:color w:val="000000"/>
                <w:sz w:val="20"/>
                <w:szCs w:val="20"/>
              </w:rPr>
              <w:t>Projects determined by network</w:t>
            </w:r>
          </w:p>
        </w:tc>
      </w:tr>
      <w:tr w:rsidR="00B260C0" w:rsidRPr="00C33609" w14:paraId="34D6C04B" w14:textId="77777777" w:rsidTr="002661CD">
        <w:trPr>
          <w:trHeight w:val="320"/>
        </w:trPr>
        <w:tc>
          <w:tcPr>
            <w:tcW w:w="1370" w:type="dxa"/>
            <w:shd w:val="clear" w:color="auto" w:fill="auto"/>
            <w:hideMark/>
          </w:tcPr>
          <w:p w14:paraId="1ECD8E46" w14:textId="77777777" w:rsidR="00B260C0" w:rsidRPr="00C33609" w:rsidRDefault="00B260C0" w:rsidP="002661CD">
            <w:pPr>
              <w:rPr>
                <w:rFonts w:cs="Calibri"/>
                <w:b/>
                <w:bCs/>
                <w:color w:val="000000"/>
                <w:sz w:val="20"/>
                <w:szCs w:val="20"/>
              </w:rPr>
            </w:pPr>
            <w:r w:rsidRPr="00C33609">
              <w:rPr>
                <w:rFonts w:cs="Calibri"/>
                <w:b/>
                <w:bCs/>
                <w:color w:val="000000"/>
                <w:sz w:val="20"/>
                <w:szCs w:val="20"/>
              </w:rPr>
              <w:t>TOTAL</w:t>
            </w:r>
          </w:p>
        </w:tc>
        <w:tc>
          <w:tcPr>
            <w:tcW w:w="875" w:type="dxa"/>
            <w:shd w:val="clear" w:color="auto" w:fill="auto"/>
            <w:noWrap/>
            <w:hideMark/>
          </w:tcPr>
          <w:p w14:paraId="4ED7E061" w14:textId="77777777" w:rsidR="00B260C0" w:rsidRPr="00C33609" w:rsidRDefault="00B260C0" w:rsidP="002661CD">
            <w:pPr>
              <w:jc w:val="right"/>
              <w:rPr>
                <w:rFonts w:cs="Calibri"/>
                <w:color w:val="000000"/>
                <w:sz w:val="20"/>
                <w:szCs w:val="20"/>
              </w:rPr>
            </w:pPr>
            <w:r w:rsidRPr="00C33609">
              <w:rPr>
                <w:rFonts w:cs="Calibri"/>
                <w:color w:val="000000"/>
                <w:sz w:val="20"/>
                <w:szCs w:val="20"/>
              </w:rPr>
              <w:t>675000</w:t>
            </w:r>
          </w:p>
        </w:tc>
        <w:tc>
          <w:tcPr>
            <w:tcW w:w="926" w:type="dxa"/>
            <w:shd w:val="clear" w:color="auto" w:fill="auto"/>
            <w:noWrap/>
            <w:hideMark/>
          </w:tcPr>
          <w:p w14:paraId="4AC7D7FB" w14:textId="77777777" w:rsidR="00B260C0" w:rsidRPr="00C33609" w:rsidRDefault="00B260C0" w:rsidP="002661CD">
            <w:pPr>
              <w:jc w:val="right"/>
              <w:rPr>
                <w:rFonts w:cs="Calibri"/>
                <w:color w:val="000000"/>
                <w:sz w:val="20"/>
                <w:szCs w:val="20"/>
              </w:rPr>
            </w:pPr>
            <w:r w:rsidRPr="00C33609">
              <w:rPr>
                <w:rFonts w:cs="Calibri"/>
                <w:color w:val="000000"/>
                <w:sz w:val="20"/>
                <w:szCs w:val="20"/>
              </w:rPr>
              <w:t>1030000</w:t>
            </w:r>
          </w:p>
        </w:tc>
        <w:tc>
          <w:tcPr>
            <w:tcW w:w="926" w:type="dxa"/>
            <w:shd w:val="clear" w:color="auto" w:fill="auto"/>
            <w:noWrap/>
            <w:hideMark/>
          </w:tcPr>
          <w:p w14:paraId="6FB5A3DA" w14:textId="77777777" w:rsidR="00B260C0" w:rsidRPr="00C33609" w:rsidRDefault="00B260C0" w:rsidP="002661CD">
            <w:pPr>
              <w:jc w:val="right"/>
              <w:rPr>
                <w:rFonts w:cs="Calibri"/>
                <w:color w:val="000000"/>
                <w:sz w:val="20"/>
                <w:szCs w:val="20"/>
              </w:rPr>
            </w:pPr>
            <w:r w:rsidRPr="00C33609">
              <w:rPr>
                <w:rFonts w:cs="Calibri"/>
                <w:color w:val="000000"/>
                <w:sz w:val="20"/>
                <w:szCs w:val="20"/>
              </w:rPr>
              <w:t>1565000</w:t>
            </w:r>
          </w:p>
        </w:tc>
        <w:tc>
          <w:tcPr>
            <w:tcW w:w="926" w:type="dxa"/>
            <w:shd w:val="clear" w:color="auto" w:fill="auto"/>
            <w:noWrap/>
            <w:hideMark/>
          </w:tcPr>
          <w:p w14:paraId="265BE313" w14:textId="77777777" w:rsidR="00B260C0" w:rsidRPr="00C33609" w:rsidRDefault="00B260C0" w:rsidP="002661CD">
            <w:pPr>
              <w:jc w:val="right"/>
              <w:rPr>
                <w:rFonts w:cs="Calibri"/>
                <w:color w:val="000000"/>
                <w:sz w:val="20"/>
                <w:szCs w:val="20"/>
              </w:rPr>
            </w:pPr>
            <w:r w:rsidRPr="00C33609">
              <w:rPr>
                <w:rFonts w:cs="Calibri"/>
                <w:color w:val="000000"/>
                <w:sz w:val="20"/>
                <w:szCs w:val="20"/>
              </w:rPr>
              <w:t>2000000</w:t>
            </w:r>
          </w:p>
        </w:tc>
        <w:tc>
          <w:tcPr>
            <w:tcW w:w="822" w:type="dxa"/>
            <w:shd w:val="clear" w:color="auto" w:fill="auto"/>
            <w:noWrap/>
            <w:hideMark/>
          </w:tcPr>
          <w:p w14:paraId="2E231390" w14:textId="77777777" w:rsidR="00B260C0" w:rsidRPr="00C33609" w:rsidRDefault="00B260C0" w:rsidP="002661CD">
            <w:pPr>
              <w:jc w:val="right"/>
              <w:rPr>
                <w:rFonts w:cs="Calibri"/>
                <w:color w:val="000000"/>
                <w:sz w:val="20"/>
                <w:szCs w:val="20"/>
              </w:rPr>
            </w:pPr>
            <w:r w:rsidRPr="00C33609">
              <w:rPr>
                <w:rFonts w:cs="Calibri"/>
                <w:color w:val="000000"/>
                <w:sz w:val="20"/>
                <w:szCs w:val="20"/>
              </w:rPr>
              <w:t>2085000</w:t>
            </w:r>
          </w:p>
        </w:tc>
        <w:tc>
          <w:tcPr>
            <w:tcW w:w="1106" w:type="dxa"/>
            <w:shd w:val="clear" w:color="auto" w:fill="auto"/>
            <w:noWrap/>
            <w:hideMark/>
          </w:tcPr>
          <w:p w14:paraId="12B255FB" w14:textId="77777777" w:rsidR="00B260C0" w:rsidRPr="00C33609" w:rsidRDefault="00B260C0" w:rsidP="002661CD">
            <w:pPr>
              <w:jc w:val="right"/>
              <w:rPr>
                <w:rFonts w:cs="Calibri"/>
                <w:b/>
                <w:bCs/>
                <w:color w:val="000000"/>
                <w:sz w:val="20"/>
                <w:szCs w:val="20"/>
              </w:rPr>
            </w:pPr>
            <w:r w:rsidRPr="00C33609">
              <w:rPr>
                <w:rFonts w:cs="Calibri"/>
                <w:b/>
                <w:bCs/>
                <w:color w:val="000000"/>
                <w:sz w:val="20"/>
                <w:szCs w:val="20"/>
              </w:rPr>
              <w:t>7355000</w:t>
            </w:r>
          </w:p>
        </w:tc>
        <w:tc>
          <w:tcPr>
            <w:tcW w:w="2089" w:type="dxa"/>
            <w:shd w:val="clear" w:color="auto" w:fill="auto"/>
            <w:hideMark/>
          </w:tcPr>
          <w:p w14:paraId="5E99296A" w14:textId="77777777" w:rsidR="00B260C0" w:rsidRPr="00C33609" w:rsidRDefault="00B260C0" w:rsidP="002661CD">
            <w:pPr>
              <w:jc w:val="right"/>
              <w:rPr>
                <w:rFonts w:cs="Calibri"/>
                <w:b/>
                <w:bCs/>
                <w:color w:val="000000"/>
                <w:sz w:val="20"/>
                <w:szCs w:val="20"/>
              </w:rPr>
            </w:pPr>
          </w:p>
        </w:tc>
      </w:tr>
    </w:tbl>
    <w:p w14:paraId="2D9BCF98" w14:textId="77777777" w:rsidR="00B260C0" w:rsidRDefault="00B260C0" w:rsidP="00B260C0">
      <w:pPr>
        <w:rPr>
          <w:szCs w:val="22"/>
        </w:rPr>
      </w:pPr>
    </w:p>
    <w:p w14:paraId="4D77C599" w14:textId="77777777" w:rsidR="00B260C0" w:rsidRPr="0042242C" w:rsidRDefault="00B260C0" w:rsidP="00B260C0">
      <w:pPr>
        <w:rPr>
          <w:rFonts w:cs="Arial"/>
          <w:szCs w:val="22"/>
        </w:rPr>
      </w:pPr>
      <w:r w:rsidRPr="0042242C">
        <w:rPr>
          <w:rFonts w:cs="Arial"/>
          <w:szCs w:val="22"/>
        </w:rPr>
        <w:t>We validated our budget for the network by looking at the budgets of four mature national networks, with organizations as members, that are steady-state operations.</w:t>
      </w:r>
    </w:p>
    <w:p w14:paraId="06E44E16" w14:textId="77777777" w:rsidR="00B260C0" w:rsidRPr="0042242C" w:rsidRDefault="00B260C0" w:rsidP="00B260C0">
      <w:pPr>
        <w:rPr>
          <w:rFonts w:cs="Arial"/>
          <w:szCs w:val="22"/>
        </w:rPr>
      </w:pPr>
    </w:p>
    <w:p w14:paraId="7F944AC0" w14:textId="77777777" w:rsidR="00B260C0" w:rsidRDefault="00B260C0" w:rsidP="00B260C0">
      <w:pPr>
        <w:pStyle w:val="ListParagraph"/>
        <w:numPr>
          <w:ilvl w:val="0"/>
          <w:numId w:val="10"/>
        </w:numPr>
        <w:rPr>
          <w:rFonts w:cs="Arial"/>
          <w:szCs w:val="22"/>
        </w:rPr>
      </w:pPr>
      <w:r w:rsidRPr="0042242C">
        <w:rPr>
          <w:rFonts w:cs="Arial"/>
          <w:szCs w:val="22"/>
        </w:rPr>
        <w:t>A national network, 12 years old, with 200 member organizations, 1 annual meeting.</w:t>
      </w:r>
    </w:p>
    <w:p w14:paraId="7704A0C2" w14:textId="77777777" w:rsidR="00B260C0" w:rsidRPr="0042242C" w:rsidRDefault="00B260C0" w:rsidP="00B260C0">
      <w:pPr>
        <w:pStyle w:val="ListParagraph"/>
        <w:numPr>
          <w:ilvl w:val="1"/>
          <w:numId w:val="10"/>
        </w:numPr>
        <w:rPr>
          <w:rFonts w:cs="Arial"/>
          <w:szCs w:val="22"/>
        </w:rPr>
      </w:pPr>
      <w:r w:rsidRPr="0042242C">
        <w:rPr>
          <w:rFonts w:cs="Arial"/>
          <w:szCs w:val="22"/>
        </w:rPr>
        <w:t>Total budget for 2022: $8.3 million</w:t>
      </w:r>
    </w:p>
    <w:p w14:paraId="079819CE" w14:textId="77777777" w:rsidR="00B260C0" w:rsidRPr="0042242C" w:rsidRDefault="00B260C0" w:rsidP="00B260C0">
      <w:pPr>
        <w:pStyle w:val="ListParagraph"/>
        <w:numPr>
          <w:ilvl w:val="1"/>
          <w:numId w:val="10"/>
        </w:numPr>
        <w:rPr>
          <w:rFonts w:cs="Arial"/>
          <w:szCs w:val="22"/>
        </w:rPr>
      </w:pPr>
      <w:r w:rsidRPr="0042242C">
        <w:rPr>
          <w:rFonts w:cs="Arial"/>
          <w:szCs w:val="22"/>
        </w:rPr>
        <w:t>Staff size = 49 FTEs</w:t>
      </w:r>
    </w:p>
    <w:p w14:paraId="7122B9E4" w14:textId="77777777" w:rsidR="00B260C0" w:rsidRPr="0042242C" w:rsidRDefault="00B260C0" w:rsidP="00B260C0">
      <w:pPr>
        <w:rPr>
          <w:rFonts w:cs="Arial"/>
          <w:szCs w:val="22"/>
        </w:rPr>
      </w:pPr>
    </w:p>
    <w:p w14:paraId="5C4259A9" w14:textId="77777777" w:rsidR="00B260C0" w:rsidRPr="0042242C" w:rsidRDefault="00B260C0" w:rsidP="00B260C0">
      <w:pPr>
        <w:pStyle w:val="ListParagraph"/>
        <w:numPr>
          <w:ilvl w:val="0"/>
          <w:numId w:val="10"/>
        </w:numPr>
        <w:rPr>
          <w:rFonts w:cs="Arial"/>
          <w:szCs w:val="22"/>
        </w:rPr>
      </w:pPr>
      <w:r w:rsidRPr="0042242C">
        <w:rPr>
          <w:rFonts w:cs="Arial"/>
          <w:szCs w:val="22"/>
        </w:rPr>
        <w:t>A national network, 6 years old, with 120 member organizations, 1 annual meeting.</w:t>
      </w:r>
    </w:p>
    <w:p w14:paraId="78768FB8" w14:textId="77777777" w:rsidR="00B260C0" w:rsidRPr="0042242C" w:rsidRDefault="00B260C0" w:rsidP="00B260C0">
      <w:pPr>
        <w:pStyle w:val="ListParagraph"/>
        <w:numPr>
          <w:ilvl w:val="1"/>
          <w:numId w:val="10"/>
        </w:numPr>
        <w:rPr>
          <w:rFonts w:cs="Arial"/>
          <w:szCs w:val="22"/>
        </w:rPr>
      </w:pPr>
      <w:r w:rsidRPr="0042242C">
        <w:rPr>
          <w:rFonts w:cs="Arial"/>
          <w:szCs w:val="22"/>
        </w:rPr>
        <w:t>Total budget 2022: $5 million</w:t>
      </w:r>
    </w:p>
    <w:p w14:paraId="77747230" w14:textId="77777777" w:rsidR="00B260C0" w:rsidRPr="0042242C" w:rsidRDefault="00B260C0" w:rsidP="00B260C0">
      <w:pPr>
        <w:pStyle w:val="ListParagraph"/>
        <w:numPr>
          <w:ilvl w:val="1"/>
          <w:numId w:val="10"/>
        </w:numPr>
        <w:rPr>
          <w:rFonts w:cs="Arial"/>
          <w:szCs w:val="22"/>
        </w:rPr>
      </w:pPr>
      <w:r w:rsidRPr="0042242C">
        <w:rPr>
          <w:rFonts w:cs="Arial"/>
          <w:szCs w:val="22"/>
        </w:rPr>
        <w:t>Staff size = 15 FTEs</w:t>
      </w:r>
    </w:p>
    <w:p w14:paraId="494D8E74" w14:textId="77777777" w:rsidR="00B260C0" w:rsidRPr="0042242C" w:rsidRDefault="00B260C0" w:rsidP="00B260C0">
      <w:pPr>
        <w:rPr>
          <w:rFonts w:cs="Arial"/>
          <w:szCs w:val="22"/>
        </w:rPr>
      </w:pPr>
    </w:p>
    <w:p w14:paraId="3F5ECB16" w14:textId="77777777" w:rsidR="00B260C0" w:rsidRPr="0042242C" w:rsidRDefault="00B260C0" w:rsidP="00B260C0">
      <w:pPr>
        <w:pStyle w:val="ListParagraph"/>
        <w:numPr>
          <w:ilvl w:val="0"/>
          <w:numId w:val="10"/>
        </w:numPr>
        <w:rPr>
          <w:rFonts w:cs="Arial"/>
          <w:szCs w:val="22"/>
        </w:rPr>
      </w:pPr>
      <w:r w:rsidRPr="0042242C">
        <w:rPr>
          <w:rFonts w:cs="Arial"/>
          <w:szCs w:val="22"/>
        </w:rPr>
        <w:t>A national network, 3-year initiative (2020-22), 20 member organizations, 3 convenings.</w:t>
      </w:r>
    </w:p>
    <w:p w14:paraId="32A1E7C1" w14:textId="77777777" w:rsidR="00B260C0" w:rsidRPr="0042242C" w:rsidRDefault="00B260C0" w:rsidP="00B260C0">
      <w:pPr>
        <w:pStyle w:val="ListParagraph"/>
        <w:numPr>
          <w:ilvl w:val="1"/>
          <w:numId w:val="10"/>
        </w:numPr>
        <w:rPr>
          <w:rFonts w:cs="Arial"/>
          <w:szCs w:val="22"/>
        </w:rPr>
      </w:pPr>
      <w:r w:rsidRPr="0042242C">
        <w:rPr>
          <w:rFonts w:cs="Arial"/>
          <w:szCs w:val="22"/>
          <w:u w:val="single"/>
        </w:rPr>
        <w:t>2.5-year</w:t>
      </w:r>
      <w:r w:rsidRPr="0042242C">
        <w:rPr>
          <w:rFonts w:cs="Arial"/>
          <w:szCs w:val="22"/>
        </w:rPr>
        <w:t xml:space="preserve"> budget: $7 million, including $2 million in project grants to members</w:t>
      </w:r>
    </w:p>
    <w:p w14:paraId="0844AC03" w14:textId="77777777" w:rsidR="00B260C0" w:rsidRPr="0042242C" w:rsidRDefault="00B260C0" w:rsidP="00B260C0">
      <w:pPr>
        <w:pStyle w:val="ListParagraph"/>
        <w:numPr>
          <w:ilvl w:val="1"/>
          <w:numId w:val="10"/>
        </w:numPr>
        <w:rPr>
          <w:rFonts w:cs="Arial"/>
          <w:szCs w:val="22"/>
        </w:rPr>
      </w:pPr>
      <w:r w:rsidRPr="0042242C">
        <w:rPr>
          <w:rFonts w:cs="Arial"/>
          <w:szCs w:val="22"/>
        </w:rPr>
        <w:t xml:space="preserve">Staff size = 3-4 FTEs + contracts for communications, evaluation, expert advisors </w:t>
      </w:r>
    </w:p>
    <w:p w14:paraId="4D879AD9" w14:textId="77777777" w:rsidR="00B260C0" w:rsidRPr="0042242C" w:rsidRDefault="00B260C0" w:rsidP="00B260C0">
      <w:pPr>
        <w:rPr>
          <w:rFonts w:cs="Arial"/>
          <w:szCs w:val="22"/>
        </w:rPr>
      </w:pPr>
    </w:p>
    <w:p w14:paraId="664C53AB" w14:textId="77777777" w:rsidR="00B260C0" w:rsidRPr="0042242C" w:rsidRDefault="00B260C0" w:rsidP="00B260C0">
      <w:pPr>
        <w:pStyle w:val="ListParagraph"/>
        <w:numPr>
          <w:ilvl w:val="0"/>
          <w:numId w:val="10"/>
        </w:numPr>
        <w:rPr>
          <w:rFonts w:cs="Arial"/>
          <w:szCs w:val="22"/>
        </w:rPr>
      </w:pPr>
      <w:r w:rsidRPr="0042242C">
        <w:rPr>
          <w:rFonts w:cs="Arial"/>
          <w:szCs w:val="22"/>
        </w:rPr>
        <w:t>A national network, reset 5 years ago, 350 member organizations, 1 annual meeting</w:t>
      </w:r>
    </w:p>
    <w:p w14:paraId="1932A2FC" w14:textId="77777777" w:rsidR="00B260C0" w:rsidRPr="0042242C" w:rsidRDefault="00B260C0" w:rsidP="00B260C0">
      <w:pPr>
        <w:pStyle w:val="ListParagraph"/>
        <w:numPr>
          <w:ilvl w:val="1"/>
          <w:numId w:val="10"/>
        </w:numPr>
        <w:rPr>
          <w:rFonts w:cs="Arial"/>
          <w:szCs w:val="22"/>
        </w:rPr>
      </w:pPr>
      <w:r w:rsidRPr="0042242C">
        <w:rPr>
          <w:rFonts w:cs="Arial"/>
          <w:szCs w:val="22"/>
        </w:rPr>
        <w:t xml:space="preserve">Total budget for FY 2022: $3.2 million </w:t>
      </w:r>
    </w:p>
    <w:p w14:paraId="46A36B8C" w14:textId="77777777" w:rsidR="00B260C0" w:rsidRPr="0042242C" w:rsidRDefault="00B260C0" w:rsidP="00B260C0">
      <w:pPr>
        <w:pStyle w:val="ListParagraph"/>
        <w:numPr>
          <w:ilvl w:val="1"/>
          <w:numId w:val="10"/>
        </w:numPr>
        <w:rPr>
          <w:rFonts w:cs="Arial"/>
          <w:szCs w:val="22"/>
        </w:rPr>
      </w:pPr>
      <w:r w:rsidRPr="0042242C">
        <w:rPr>
          <w:rFonts w:cs="Arial"/>
          <w:szCs w:val="22"/>
        </w:rPr>
        <w:t>Staff size = 11 FTEs</w:t>
      </w:r>
    </w:p>
    <w:p w14:paraId="0661B713" w14:textId="77777777" w:rsidR="00B260C0" w:rsidRPr="0042242C" w:rsidRDefault="00B260C0" w:rsidP="00B260C0">
      <w:pPr>
        <w:rPr>
          <w:rFonts w:cs="Arial"/>
          <w:szCs w:val="22"/>
        </w:rPr>
      </w:pPr>
    </w:p>
    <w:p w14:paraId="6DB905E1" w14:textId="77777777" w:rsidR="00B260C0" w:rsidRPr="0042242C" w:rsidRDefault="00B260C0" w:rsidP="00B260C0">
      <w:pPr>
        <w:rPr>
          <w:rFonts w:cs="Arial"/>
          <w:szCs w:val="22"/>
        </w:rPr>
      </w:pPr>
      <w:r w:rsidRPr="0042242C">
        <w:rPr>
          <w:rFonts w:cs="Arial"/>
          <w:szCs w:val="22"/>
        </w:rPr>
        <w:t xml:space="preserve">These and other network budgets vary due to several factors: </w:t>
      </w:r>
    </w:p>
    <w:p w14:paraId="6E23687F" w14:textId="77777777" w:rsidR="00B260C0" w:rsidRPr="0042242C" w:rsidRDefault="00B260C0" w:rsidP="00B260C0">
      <w:pPr>
        <w:rPr>
          <w:rFonts w:cs="Arial"/>
          <w:szCs w:val="22"/>
        </w:rPr>
      </w:pPr>
    </w:p>
    <w:p w14:paraId="5F6CAF5E" w14:textId="77777777" w:rsidR="00B260C0" w:rsidRPr="0042242C" w:rsidRDefault="00B260C0" w:rsidP="00B260C0">
      <w:pPr>
        <w:pStyle w:val="ListParagraph"/>
        <w:numPr>
          <w:ilvl w:val="1"/>
          <w:numId w:val="10"/>
        </w:numPr>
        <w:rPr>
          <w:rFonts w:cs="Arial"/>
          <w:szCs w:val="22"/>
        </w:rPr>
      </w:pPr>
      <w:r w:rsidRPr="0042242C">
        <w:rPr>
          <w:rFonts w:cs="Arial"/>
          <w:szCs w:val="22"/>
        </w:rPr>
        <w:t>Number of members</w:t>
      </w:r>
    </w:p>
    <w:p w14:paraId="6790A441" w14:textId="77777777" w:rsidR="00B260C0" w:rsidRPr="0042242C" w:rsidRDefault="00B260C0" w:rsidP="00B260C0">
      <w:pPr>
        <w:pStyle w:val="ListParagraph"/>
        <w:numPr>
          <w:ilvl w:val="1"/>
          <w:numId w:val="10"/>
        </w:numPr>
        <w:rPr>
          <w:rFonts w:cs="Arial"/>
          <w:szCs w:val="22"/>
        </w:rPr>
      </w:pPr>
      <w:proofErr w:type="gramStart"/>
      <w:r w:rsidRPr="0042242C">
        <w:rPr>
          <w:rFonts w:cs="Arial"/>
          <w:szCs w:val="22"/>
        </w:rPr>
        <w:t>Amount</w:t>
      </w:r>
      <w:proofErr w:type="gramEnd"/>
      <w:r w:rsidRPr="0042242C">
        <w:rPr>
          <w:rFonts w:cs="Arial"/>
          <w:szCs w:val="22"/>
        </w:rPr>
        <w:t xml:space="preserve"> of staff and contracting</w:t>
      </w:r>
    </w:p>
    <w:p w14:paraId="32FA3C2A" w14:textId="77777777" w:rsidR="00B260C0" w:rsidRPr="0042242C" w:rsidRDefault="00B260C0" w:rsidP="00B260C0">
      <w:pPr>
        <w:pStyle w:val="ListParagraph"/>
        <w:numPr>
          <w:ilvl w:val="1"/>
          <w:numId w:val="10"/>
        </w:numPr>
        <w:rPr>
          <w:rFonts w:cs="Arial"/>
          <w:szCs w:val="22"/>
        </w:rPr>
      </w:pPr>
      <w:r w:rsidRPr="0042242C">
        <w:rPr>
          <w:rFonts w:cs="Arial"/>
          <w:szCs w:val="22"/>
        </w:rPr>
        <w:t xml:space="preserve">Number of convenings </w:t>
      </w:r>
    </w:p>
    <w:p w14:paraId="44E2D5F9" w14:textId="77777777" w:rsidR="00B260C0" w:rsidRPr="0042242C" w:rsidRDefault="00B260C0" w:rsidP="00B260C0">
      <w:pPr>
        <w:pStyle w:val="ListParagraph"/>
        <w:numPr>
          <w:ilvl w:val="1"/>
          <w:numId w:val="10"/>
        </w:numPr>
        <w:rPr>
          <w:rStyle w:val="gmail-apple-converted-space"/>
          <w:rFonts w:cs="Arial"/>
          <w:szCs w:val="22"/>
        </w:rPr>
      </w:pPr>
      <w:r w:rsidRPr="0042242C">
        <w:rPr>
          <w:rStyle w:val="gmail-apple-converted-space"/>
          <w:color w:val="222222"/>
          <w:szCs w:val="22"/>
        </w:rPr>
        <w:t>Number and cost of projects initiated by the network</w:t>
      </w:r>
    </w:p>
    <w:p w14:paraId="4D378C92" w14:textId="77777777" w:rsidR="00B260C0" w:rsidRDefault="00B260C0" w:rsidP="00B260C0">
      <w:pPr>
        <w:rPr>
          <w:szCs w:val="22"/>
        </w:rPr>
      </w:pPr>
    </w:p>
    <w:p w14:paraId="67189215" w14:textId="77777777" w:rsidR="00B260C0" w:rsidRDefault="00B260C0" w:rsidP="00B260C0">
      <w:pPr>
        <w:rPr>
          <w:szCs w:val="22"/>
        </w:rPr>
      </w:pPr>
      <w:r w:rsidRPr="0042242C">
        <w:rPr>
          <w:szCs w:val="22"/>
        </w:rPr>
        <w:lastRenderedPageBreak/>
        <w:t xml:space="preserve">Without this level of lead investment, it is unlikely that a critical mass of founders—already stretched thin in their organizations—will have the interest and energy to make launching the network a priority, even though they see its potential value. </w:t>
      </w:r>
    </w:p>
    <w:p w14:paraId="4085C820" w14:textId="77777777" w:rsidR="00246089" w:rsidRDefault="00246089" w:rsidP="00F4027A">
      <w:pPr>
        <w:rPr>
          <w:b/>
          <w:bCs/>
        </w:rPr>
      </w:pPr>
      <w:bookmarkStart w:id="4" w:name="_Toc96513166"/>
    </w:p>
    <w:p w14:paraId="34A90FB0" w14:textId="24753BD9" w:rsidR="00B260C0" w:rsidRPr="00F4027A" w:rsidRDefault="00B260C0" w:rsidP="00F4027A">
      <w:pPr>
        <w:rPr>
          <w:b/>
          <w:bCs/>
        </w:rPr>
      </w:pPr>
      <w:r w:rsidRPr="00F4027A">
        <w:rPr>
          <w:b/>
          <w:bCs/>
        </w:rPr>
        <w:t>Reading Resources</w:t>
      </w:r>
      <w:bookmarkEnd w:id="4"/>
    </w:p>
    <w:p w14:paraId="54CBA788" w14:textId="77777777" w:rsidR="00B260C0" w:rsidRPr="00947AC0" w:rsidRDefault="00B260C0" w:rsidP="00B260C0">
      <w:pPr>
        <w:rPr>
          <w:szCs w:val="22"/>
        </w:rPr>
      </w:pPr>
    </w:p>
    <w:p w14:paraId="23E6E905" w14:textId="77777777" w:rsidR="00B260C0" w:rsidRPr="00947AC0" w:rsidRDefault="00B260C0" w:rsidP="00B260C0">
      <w:pPr>
        <w:rPr>
          <w:rFonts w:cs="Arial"/>
          <w:b/>
          <w:bCs/>
          <w:szCs w:val="22"/>
        </w:rPr>
      </w:pPr>
      <w:r w:rsidRPr="00947AC0">
        <w:rPr>
          <w:szCs w:val="22"/>
        </w:rPr>
        <w:t>The team conducted a partial literature review, with t</w:t>
      </w:r>
      <w:r w:rsidRPr="00947AC0">
        <w:rPr>
          <w:rFonts w:cs="Arial"/>
          <w:szCs w:val="22"/>
        </w:rPr>
        <w:t>he partners sharing and examining materials, tools, and books, and monitored relevant contemporary articles, including:</w:t>
      </w:r>
    </w:p>
    <w:p w14:paraId="6C862BC5" w14:textId="77777777" w:rsidR="00B260C0" w:rsidRPr="00947AC0" w:rsidRDefault="00B260C0" w:rsidP="00B260C0">
      <w:pPr>
        <w:rPr>
          <w:rFonts w:cs="Arial"/>
          <w:szCs w:val="22"/>
        </w:rPr>
      </w:pPr>
    </w:p>
    <w:p w14:paraId="724A254A" w14:textId="77777777" w:rsidR="00B260C0" w:rsidRPr="00947AC0" w:rsidRDefault="00B260C0" w:rsidP="00B260C0">
      <w:pPr>
        <w:pStyle w:val="ListParagraph"/>
        <w:numPr>
          <w:ilvl w:val="0"/>
          <w:numId w:val="7"/>
        </w:numPr>
        <w:rPr>
          <w:rFonts w:cs="Arial"/>
          <w:szCs w:val="22"/>
        </w:rPr>
      </w:pPr>
      <w:r w:rsidRPr="00947AC0">
        <w:rPr>
          <w:rFonts w:cs="Arial"/>
          <w:szCs w:val="22"/>
        </w:rPr>
        <w:t xml:space="preserve">Edgar </w:t>
      </w:r>
      <w:proofErr w:type="spellStart"/>
      <w:r w:rsidRPr="00947AC0">
        <w:rPr>
          <w:rFonts w:cs="Arial"/>
          <w:szCs w:val="22"/>
        </w:rPr>
        <w:t>Villaneuva</w:t>
      </w:r>
      <w:proofErr w:type="spellEnd"/>
      <w:r w:rsidRPr="00947AC0">
        <w:rPr>
          <w:rFonts w:cs="Arial"/>
          <w:szCs w:val="22"/>
        </w:rPr>
        <w:t xml:space="preserve">, </w:t>
      </w:r>
      <w:r w:rsidRPr="00947AC0">
        <w:rPr>
          <w:rFonts w:cs="Arial"/>
          <w:i/>
          <w:iCs/>
          <w:szCs w:val="22"/>
        </w:rPr>
        <w:t xml:space="preserve">Decolonizing Wealth: Indigenous Wisdom to Heal Divides and Restore Balance </w:t>
      </w:r>
      <w:r w:rsidRPr="00947AC0">
        <w:rPr>
          <w:rFonts w:cs="Arial"/>
          <w:szCs w:val="22"/>
        </w:rPr>
        <w:t xml:space="preserve">(Berrett-Koehler, 2018) </w:t>
      </w:r>
    </w:p>
    <w:p w14:paraId="21858A7C" w14:textId="77777777" w:rsidR="00B260C0" w:rsidRPr="00947AC0" w:rsidRDefault="00B260C0" w:rsidP="00B260C0">
      <w:pPr>
        <w:pStyle w:val="ListParagraph"/>
        <w:numPr>
          <w:ilvl w:val="0"/>
          <w:numId w:val="7"/>
        </w:numPr>
        <w:rPr>
          <w:rFonts w:cs="Arial"/>
          <w:szCs w:val="22"/>
        </w:rPr>
      </w:pPr>
      <w:r w:rsidRPr="00947AC0">
        <w:rPr>
          <w:rFonts w:cs="Arial"/>
          <w:szCs w:val="22"/>
        </w:rPr>
        <w:t xml:space="preserve">NDN Collective, </w:t>
      </w:r>
      <w:r w:rsidRPr="00947AC0">
        <w:rPr>
          <w:rFonts w:cs="Arial"/>
          <w:i/>
          <w:iCs/>
          <w:szCs w:val="22"/>
        </w:rPr>
        <w:t>Required Reading: Climate Justice, Adaptation and Investing in Indigenous Power</w:t>
      </w:r>
      <w:r w:rsidRPr="00947AC0">
        <w:rPr>
          <w:rFonts w:cs="Arial"/>
          <w:szCs w:val="22"/>
        </w:rPr>
        <w:t xml:space="preserve"> (Loam, September 2021)</w:t>
      </w:r>
    </w:p>
    <w:p w14:paraId="1B1E819A" w14:textId="77777777" w:rsidR="00B260C0" w:rsidRPr="00947AC0" w:rsidRDefault="00B260C0" w:rsidP="00B260C0">
      <w:pPr>
        <w:pStyle w:val="ListParagraph"/>
        <w:numPr>
          <w:ilvl w:val="0"/>
          <w:numId w:val="7"/>
        </w:numPr>
        <w:rPr>
          <w:rFonts w:cs="Arial"/>
          <w:szCs w:val="22"/>
        </w:rPr>
      </w:pPr>
      <w:r w:rsidRPr="00947AC0">
        <w:rPr>
          <w:rFonts w:cs="Arial"/>
          <w:color w:val="000000" w:themeColor="text1"/>
          <w:szCs w:val="22"/>
        </w:rPr>
        <w:t>US Climate Action Network, “Ten Core Principles of Antiracism.”</w:t>
      </w:r>
    </w:p>
    <w:p w14:paraId="7C5EC084" w14:textId="77777777" w:rsidR="00B260C0" w:rsidRPr="00947AC0" w:rsidRDefault="00B260C0" w:rsidP="00B260C0">
      <w:pPr>
        <w:pStyle w:val="ListParagraph"/>
        <w:numPr>
          <w:ilvl w:val="0"/>
          <w:numId w:val="7"/>
        </w:numPr>
        <w:rPr>
          <w:rFonts w:cs="Arial"/>
          <w:szCs w:val="22"/>
        </w:rPr>
      </w:pPr>
      <w:proofErr w:type="spellStart"/>
      <w:r w:rsidRPr="00947AC0">
        <w:rPr>
          <w:rFonts w:cs="Arial"/>
          <w:color w:val="000000" w:themeColor="text1"/>
          <w:szCs w:val="22"/>
        </w:rPr>
        <w:t>Tema</w:t>
      </w:r>
      <w:proofErr w:type="spellEnd"/>
      <w:r w:rsidRPr="00947AC0">
        <w:rPr>
          <w:rFonts w:cs="Arial"/>
          <w:color w:val="000000" w:themeColor="text1"/>
          <w:szCs w:val="22"/>
        </w:rPr>
        <w:t xml:space="preserve"> Okun, “white supremacy culture,” </w:t>
      </w:r>
      <w:hyperlink r:id="rId8" w:history="1">
        <w:r w:rsidRPr="00947AC0">
          <w:rPr>
            <w:rStyle w:val="Hyperlink"/>
            <w:rFonts w:cs="Arial"/>
            <w:szCs w:val="22"/>
          </w:rPr>
          <w:t>www.dismantlingracism.org</w:t>
        </w:r>
      </w:hyperlink>
      <w:r w:rsidRPr="00947AC0">
        <w:rPr>
          <w:rFonts w:cs="Arial"/>
          <w:color w:val="000000" w:themeColor="text1"/>
          <w:szCs w:val="22"/>
        </w:rPr>
        <w:t xml:space="preserve">. </w:t>
      </w:r>
      <w:r w:rsidRPr="00947AC0">
        <w:rPr>
          <w:rFonts w:ascii="Cambria" w:hAnsi="Cambria" w:cs="Cambria"/>
          <w:color w:val="000000" w:themeColor="text1"/>
          <w:szCs w:val="22"/>
        </w:rPr>
        <w:t> </w:t>
      </w:r>
    </w:p>
    <w:p w14:paraId="5A0C8468" w14:textId="77777777" w:rsidR="00B260C0" w:rsidRPr="00947AC0" w:rsidRDefault="00B260C0" w:rsidP="00B260C0">
      <w:pPr>
        <w:pStyle w:val="ListParagraph"/>
        <w:numPr>
          <w:ilvl w:val="0"/>
          <w:numId w:val="7"/>
        </w:numPr>
        <w:rPr>
          <w:rFonts w:cs="Arial"/>
          <w:szCs w:val="22"/>
        </w:rPr>
      </w:pPr>
      <w:r w:rsidRPr="00947AC0">
        <w:rPr>
          <w:rFonts w:cs="Arial"/>
          <w:color w:val="000000" w:themeColor="text1"/>
          <w:szCs w:val="22"/>
        </w:rPr>
        <w:t xml:space="preserve">Audrey Jordan and Diana </w:t>
      </w:r>
      <w:proofErr w:type="spellStart"/>
      <w:r w:rsidRPr="00947AC0">
        <w:rPr>
          <w:rFonts w:cs="Arial"/>
          <w:color w:val="000000" w:themeColor="text1"/>
          <w:szCs w:val="22"/>
        </w:rPr>
        <w:t>Scearce</w:t>
      </w:r>
      <w:proofErr w:type="spellEnd"/>
      <w:r w:rsidRPr="00947AC0">
        <w:rPr>
          <w:rFonts w:cs="Arial"/>
          <w:color w:val="000000" w:themeColor="text1"/>
          <w:szCs w:val="22"/>
        </w:rPr>
        <w:t>, “Equity and Networks” (November 2020)</w:t>
      </w:r>
    </w:p>
    <w:p w14:paraId="2D407EBF" w14:textId="77777777" w:rsidR="00B260C0" w:rsidRPr="00947AC0" w:rsidRDefault="00B260C0" w:rsidP="00B260C0">
      <w:pPr>
        <w:pStyle w:val="ListParagraph"/>
        <w:numPr>
          <w:ilvl w:val="0"/>
          <w:numId w:val="7"/>
        </w:numPr>
        <w:rPr>
          <w:rFonts w:cs="Arial"/>
          <w:szCs w:val="22"/>
        </w:rPr>
      </w:pPr>
      <w:r w:rsidRPr="00947AC0">
        <w:rPr>
          <w:rFonts w:cs="Arial"/>
          <w:szCs w:val="22"/>
        </w:rPr>
        <w:t xml:space="preserve">John Kania, et al, “Centering Equity in Collective Impact,” </w:t>
      </w:r>
      <w:r w:rsidRPr="00947AC0">
        <w:rPr>
          <w:rFonts w:cs="Arial"/>
          <w:i/>
          <w:iCs/>
          <w:szCs w:val="22"/>
        </w:rPr>
        <w:t>Stanford Social Innovation Review</w:t>
      </w:r>
      <w:r w:rsidRPr="00947AC0">
        <w:rPr>
          <w:rFonts w:cs="Arial"/>
          <w:szCs w:val="22"/>
        </w:rPr>
        <w:t>, Winter 2020</w:t>
      </w:r>
    </w:p>
    <w:p w14:paraId="1E4B2D9F" w14:textId="77777777" w:rsidR="00B260C0" w:rsidRPr="00947AC0" w:rsidRDefault="00B260C0" w:rsidP="00B260C0">
      <w:pPr>
        <w:pStyle w:val="ListParagraph"/>
        <w:numPr>
          <w:ilvl w:val="0"/>
          <w:numId w:val="7"/>
        </w:numPr>
        <w:rPr>
          <w:rFonts w:cs="Arial"/>
          <w:szCs w:val="22"/>
        </w:rPr>
      </w:pPr>
      <w:r w:rsidRPr="00947AC0">
        <w:rPr>
          <w:rFonts w:cs="Arial"/>
          <w:szCs w:val="22"/>
        </w:rPr>
        <w:t xml:space="preserve">Madeleine Taylor, John Cleveland, and Pete </w:t>
      </w:r>
      <w:proofErr w:type="spellStart"/>
      <w:r w:rsidRPr="00947AC0">
        <w:rPr>
          <w:rFonts w:cs="Arial"/>
          <w:szCs w:val="22"/>
        </w:rPr>
        <w:t>Plastrik</w:t>
      </w:r>
      <w:proofErr w:type="spellEnd"/>
      <w:r w:rsidRPr="00947AC0">
        <w:rPr>
          <w:rFonts w:cs="Arial"/>
          <w:szCs w:val="22"/>
        </w:rPr>
        <w:t xml:space="preserve">, </w:t>
      </w:r>
      <w:r w:rsidRPr="00947AC0">
        <w:rPr>
          <w:rFonts w:cs="Arial"/>
          <w:i/>
          <w:szCs w:val="22"/>
        </w:rPr>
        <w:t>Connecting to Change the World:</w:t>
      </w:r>
      <w:r w:rsidRPr="00947AC0">
        <w:rPr>
          <w:rFonts w:cs="Arial"/>
          <w:bCs/>
          <w:i/>
          <w:iCs/>
          <w:szCs w:val="22"/>
        </w:rPr>
        <w:t xml:space="preserve"> Harnessing the Power of Networks for Social Impact</w:t>
      </w:r>
      <w:r w:rsidRPr="00947AC0">
        <w:rPr>
          <w:rFonts w:cs="Arial"/>
          <w:i/>
          <w:szCs w:val="22"/>
        </w:rPr>
        <w:t xml:space="preserve"> </w:t>
      </w:r>
      <w:r w:rsidRPr="00947AC0">
        <w:rPr>
          <w:rFonts w:cs="Arial"/>
          <w:szCs w:val="22"/>
        </w:rPr>
        <w:t>(Island Press, 2014)</w:t>
      </w:r>
    </w:p>
    <w:p w14:paraId="4521E422" w14:textId="77777777" w:rsidR="00B260C0" w:rsidRPr="00947AC0" w:rsidRDefault="00B260C0" w:rsidP="00B260C0">
      <w:pPr>
        <w:pStyle w:val="ListParagraph"/>
        <w:numPr>
          <w:ilvl w:val="0"/>
          <w:numId w:val="7"/>
        </w:numPr>
        <w:rPr>
          <w:rFonts w:cs="Arial"/>
          <w:szCs w:val="22"/>
        </w:rPr>
      </w:pPr>
      <w:r w:rsidRPr="00947AC0">
        <w:rPr>
          <w:rFonts w:cs="Arial"/>
          <w:color w:val="000000" w:themeColor="text1"/>
          <w:szCs w:val="22"/>
        </w:rPr>
        <w:t xml:space="preserve">Community Strategies Group, “Rural Development Hubs,” The Aspen Institute, 2019, </w:t>
      </w:r>
      <w:hyperlink r:id="rId9" w:history="1">
        <w:r w:rsidRPr="00947AC0">
          <w:rPr>
            <w:rStyle w:val="Hyperlink"/>
            <w:rFonts w:cs="Arial"/>
            <w:szCs w:val="22"/>
          </w:rPr>
          <w:t>https://www.aspeninstitute.org/publications/rural-development-hubs/</w:t>
        </w:r>
      </w:hyperlink>
      <w:r w:rsidRPr="00947AC0">
        <w:rPr>
          <w:rFonts w:cs="Arial"/>
          <w:color w:val="000000" w:themeColor="text1"/>
          <w:szCs w:val="22"/>
        </w:rPr>
        <w:t xml:space="preserve">.  </w:t>
      </w:r>
    </w:p>
    <w:p w14:paraId="4039CF1B" w14:textId="77777777" w:rsidR="00B260C0" w:rsidRPr="00947AC0" w:rsidRDefault="00B260C0" w:rsidP="00B260C0">
      <w:pPr>
        <w:pStyle w:val="ListParagraph"/>
        <w:numPr>
          <w:ilvl w:val="0"/>
          <w:numId w:val="7"/>
        </w:numPr>
        <w:rPr>
          <w:rFonts w:cs="Arial"/>
          <w:szCs w:val="22"/>
        </w:rPr>
      </w:pPr>
      <w:r w:rsidRPr="00947AC0">
        <w:rPr>
          <w:rFonts w:cs="Arial"/>
          <w:color w:val="000000" w:themeColor="text1"/>
          <w:szCs w:val="22"/>
        </w:rPr>
        <w:t xml:space="preserve">Justice40 Accelerator website, “Meet the Justice40 Accelerator Cohort,” </w:t>
      </w:r>
      <w:hyperlink r:id="rId10" w:history="1">
        <w:r w:rsidRPr="00947AC0">
          <w:rPr>
            <w:rStyle w:val="Hyperlink"/>
            <w:rFonts w:cs="Arial"/>
            <w:color w:val="000000" w:themeColor="text1"/>
            <w:szCs w:val="22"/>
          </w:rPr>
          <w:t>https://www.justice40accelerator.org</w:t>
        </w:r>
      </w:hyperlink>
      <w:r>
        <w:rPr>
          <w:rStyle w:val="Hyperlink"/>
          <w:rFonts w:cs="Arial"/>
          <w:color w:val="000000" w:themeColor="text1"/>
          <w:szCs w:val="22"/>
        </w:rPr>
        <w:t>.</w:t>
      </w:r>
      <w:r>
        <w:rPr>
          <w:rFonts w:cs="Arial"/>
          <w:szCs w:val="22"/>
        </w:rPr>
        <w:t xml:space="preserve"> </w:t>
      </w:r>
    </w:p>
    <w:p w14:paraId="04CB2816" w14:textId="77777777" w:rsidR="00B260C0" w:rsidRPr="00947AC0" w:rsidRDefault="00B260C0" w:rsidP="00B260C0">
      <w:pPr>
        <w:pStyle w:val="ListParagraph"/>
        <w:numPr>
          <w:ilvl w:val="0"/>
          <w:numId w:val="7"/>
        </w:numPr>
        <w:rPr>
          <w:rStyle w:val="Hyperlink"/>
          <w:rFonts w:cs="Arial"/>
          <w:color w:val="auto"/>
          <w:szCs w:val="22"/>
          <w:u w:val="none"/>
        </w:rPr>
      </w:pPr>
      <w:r w:rsidRPr="00947AC0">
        <w:rPr>
          <w:rFonts w:cs="Arial"/>
          <w:color w:val="1D1C1D"/>
          <w:szCs w:val="22"/>
          <w:shd w:val="clear" w:color="auto" w:fill="F8F8F8"/>
        </w:rPr>
        <w:t xml:space="preserve">Jason Schneiderman, “Generational Differences in Racial Equity Work,” </w:t>
      </w:r>
      <w:hyperlink r:id="rId11" w:history="1">
        <w:r w:rsidRPr="00947AC0">
          <w:rPr>
            <w:rStyle w:val="Hyperlink"/>
            <w:rFonts w:cs="Arial"/>
            <w:szCs w:val="22"/>
          </w:rPr>
          <w:t>https://nonprofitquarterly.org/generational-differences-in-racial-equity-work/</w:t>
        </w:r>
      </w:hyperlink>
    </w:p>
    <w:p w14:paraId="00CD8F57" w14:textId="77777777" w:rsidR="00B260C0" w:rsidRPr="00947AC0" w:rsidRDefault="00B260C0" w:rsidP="00B260C0">
      <w:pPr>
        <w:pStyle w:val="ListParagraph"/>
        <w:numPr>
          <w:ilvl w:val="0"/>
          <w:numId w:val="7"/>
        </w:numPr>
        <w:rPr>
          <w:rFonts w:cs="Arial"/>
          <w:szCs w:val="22"/>
        </w:rPr>
      </w:pPr>
      <w:r w:rsidRPr="00947AC0">
        <w:rPr>
          <w:rFonts w:cs="Arial"/>
          <w:szCs w:val="22"/>
        </w:rPr>
        <w:t xml:space="preserve">“Equitable Implementation </w:t>
      </w:r>
      <w:proofErr w:type="gramStart"/>
      <w:r w:rsidRPr="00947AC0">
        <w:rPr>
          <w:rFonts w:cs="Arial"/>
          <w:szCs w:val="22"/>
        </w:rPr>
        <w:t>At</w:t>
      </w:r>
      <w:proofErr w:type="gramEnd"/>
      <w:r w:rsidRPr="00947AC0">
        <w:rPr>
          <w:rFonts w:cs="Arial"/>
          <w:szCs w:val="22"/>
        </w:rPr>
        <w:t xml:space="preserve"> Work,” ssir.org, </w:t>
      </w:r>
      <w:hyperlink r:id="rId12" w:history="1">
        <w:r w:rsidRPr="00947AC0">
          <w:rPr>
            <w:rStyle w:val="Hyperlink"/>
            <w:rFonts w:cs="Arial"/>
            <w:szCs w:val="22"/>
          </w:rPr>
          <w:t>https://ssir.org/articles/entry/equitable_implementation_at_work</w:t>
        </w:r>
      </w:hyperlink>
      <w:r w:rsidRPr="00947AC0">
        <w:rPr>
          <w:rFonts w:cs="Arial"/>
          <w:szCs w:val="22"/>
        </w:rPr>
        <w:t xml:space="preserve">. </w:t>
      </w:r>
    </w:p>
    <w:p w14:paraId="6900AAAF" w14:textId="77777777" w:rsidR="00B260C0" w:rsidRPr="00947AC0" w:rsidRDefault="00B260C0" w:rsidP="00B260C0">
      <w:pPr>
        <w:pStyle w:val="ListParagraph"/>
        <w:numPr>
          <w:ilvl w:val="0"/>
          <w:numId w:val="7"/>
        </w:numPr>
        <w:rPr>
          <w:rFonts w:cs="Arial"/>
          <w:szCs w:val="22"/>
        </w:rPr>
      </w:pPr>
      <w:r w:rsidRPr="00947AC0">
        <w:rPr>
          <w:rFonts w:cs="Arial"/>
          <w:szCs w:val="22"/>
        </w:rPr>
        <w:t xml:space="preserve">Brookings Institute, “Federal Development Assistance for Rural and Tribal Communities,” </w:t>
      </w:r>
      <w:hyperlink r:id="rId13" w:history="1">
        <w:r w:rsidRPr="00947AC0">
          <w:rPr>
            <w:rStyle w:val="Hyperlink"/>
            <w:rFonts w:cs="Arial"/>
            <w:szCs w:val="22"/>
          </w:rPr>
          <w:t>https://www.brookings.edu/wp-content/uploads/2020/11/201119_global_rural_report_fig1.png</w:t>
        </w:r>
      </w:hyperlink>
      <w:r w:rsidRPr="00947AC0">
        <w:rPr>
          <w:rFonts w:cs="Arial"/>
          <w:szCs w:val="22"/>
        </w:rPr>
        <w:t xml:space="preserve">.  </w:t>
      </w:r>
    </w:p>
    <w:p w14:paraId="59A0F09D" w14:textId="77777777" w:rsidR="00B260C0" w:rsidRPr="00947AC0" w:rsidRDefault="00B260C0" w:rsidP="00B260C0">
      <w:pPr>
        <w:pStyle w:val="ListParagraph"/>
        <w:numPr>
          <w:ilvl w:val="0"/>
          <w:numId w:val="7"/>
        </w:numPr>
        <w:rPr>
          <w:rFonts w:cs="Arial"/>
          <w:szCs w:val="22"/>
        </w:rPr>
      </w:pPr>
      <w:r w:rsidRPr="00947AC0">
        <w:rPr>
          <w:rFonts w:cs="Arial"/>
          <w:szCs w:val="22"/>
        </w:rPr>
        <w:t xml:space="preserve">Aspen CSG Thrive Rural, “An Action Framework for Advancing Equitable Rural Prosperity,” </w:t>
      </w:r>
      <w:hyperlink r:id="rId14" w:history="1">
        <w:r w:rsidRPr="00947AC0">
          <w:rPr>
            <w:rStyle w:val="Hyperlink"/>
            <w:rFonts w:cs="Arial"/>
            <w:szCs w:val="22"/>
          </w:rPr>
          <w:t>https://drive.google.com/file/d/1O5IGwsWMjJjG63ekPLA8EBvjz3mXj_8l/view</w:t>
        </w:r>
      </w:hyperlink>
      <w:r w:rsidRPr="00947AC0">
        <w:rPr>
          <w:rFonts w:cs="Arial"/>
          <w:szCs w:val="22"/>
        </w:rPr>
        <w:t xml:space="preserve">. </w:t>
      </w:r>
    </w:p>
    <w:p w14:paraId="0E3B91B4" w14:textId="77777777" w:rsidR="00B260C0" w:rsidRPr="00947AC0" w:rsidRDefault="00B260C0" w:rsidP="00B260C0">
      <w:pPr>
        <w:pStyle w:val="ListParagraph"/>
        <w:numPr>
          <w:ilvl w:val="0"/>
          <w:numId w:val="7"/>
        </w:numPr>
        <w:rPr>
          <w:rStyle w:val="Hyperlink"/>
          <w:rFonts w:cs="Arial"/>
          <w:color w:val="auto"/>
          <w:szCs w:val="22"/>
          <w:u w:val="none"/>
        </w:rPr>
      </w:pPr>
      <w:r w:rsidRPr="00947AC0">
        <w:rPr>
          <w:rFonts w:cs="Arial"/>
          <w:szCs w:val="22"/>
        </w:rPr>
        <w:t>Aspen Institute, “Rural Development Hubs Report,”</w:t>
      </w:r>
      <w:r w:rsidRPr="00947AC0">
        <w:rPr>
          <w:rFonts w:ascii="Cambria" w:hAnsi="Cambria" w:cs="Cambria"/>
          <w:color w:val="1D1C1D"/>
          <w:szCs w:val="22"/>
          <w:shd w:val="clear" w:color="auto" w:fill="F8F8F8"/>
        </w:rPr>
        <w:t> </w:t>
      </w:r>
      <w:hyperlink r:id="rId15" w:tgtFrame="_blank" w:history="1">
        <w:r w:rsidRPr="00947AC0">
          <w:rPr>
            <w:rStyle w:val="Hyperlink"/>
            <w:rFonts w:cs="Arial"/>
            <w:szCs w:val="22"/>
          </w:rPr>
          <w:t>https://www.aspeninstitute.org/blog-posts/rural-development-hubs-report/</w:t>
        </w:r>
      </w:hyperlink>
    </w:p>
    <w:p w14:paraId="1E5151A0" w14:textId="77777777" w:rsidR="00B260C0" w:rsidRPr="00947AC0" w:rsidRDefault="00B260C0" w:rsidP="00B260C0">
      <w:pPr>
        <w:pStyle w:val="ListParagraph"/>
        <w:numPr>
          <w:ilvl w:val="0"/>
          <w:numId w:val="7"/>
        </w:numPr>
        <w:rPr>
          <w:rStyle w:val="Hyperlink"/>
          <w:rFonts w:cs="Arial"/>
          <w:color w:val="auto"/>
          <w:szCs w:val="22"/>
          <w:u w:val="none"/>
        </w:rPr>
      </w:pPr>
      <w:r w:rsidRPr="00947AC0">
        <w:rPr>
          <w:rFonts w:cs="Arial"/>
          <w:szCs w:val="22"/>
        </w:rPr>
        <w:t xml:space="preserve">ESPN Video, “Paige </w:t>
      </w:r>
      <w:proofErr w:type="spellStart"/>
      <w:r w:rsidRPr="00947AC0">
        <w:rPr>
          <w:rFonts w:cs="Arial"/>
          <w:szCs w:val="22"/>
        </w:rPr>
        <w:t>Bueckers</w:t>
      </w:r>
      <w:proofErr w:type="spellEnd"/>
      <w:r w:rsidRPr="00947AC0">
        <w:rPr>
          <w:rFonts w:cs="Arial"/>
          <w:szCs w:val="22"/>
        </w:rPr>
        <w:t xml:space="preserve"> advocates for Black female athletes,” </w:t>
      </w:r>
      <w:hyperlink r:id="rId16" w:history="1">
        <w:r w:rsidRPr="00947AC0">
          <w:rPr>
            <w:rStyle w:val="Hyperlink"/>
            <w:rFonts w:cs="Arial"/>
            <w:szCs w:val="22"/>
          </w:rPr>
          <w:t>http://www.espn.com/video/clip?id=31797167</w:t>
        </w:r>
      </w:hyperlink>
    </w:p>
    <w:p w14:paraId="30B5398C" w14:textId="77777777" w:rsidR="00B260C0" w:rsidRPr="00947AC0" w:rsidRDefault="00B260C0" w:rsidP="00B260C0">
      <w:pPr>
        <w:pStyle w:val="ListParagraph"/>
        <w:numPr>
          <w:ilvl w:val="0"/>
          <w:numId w:val="7"/>
        </w:numPr>
        <w:rPr>
          <w:rFonts w:cs="Arial"/>
          <w:szCs w:val="22"/>
        </w:rPr>
      </w:pPr>
      <w:r w:rsidRPr="00947AC0">
        <w:rPr>
          <w:rFonts w:cs="Arial"/>
          <w:szCs w:val="22"/>
        </w:rPr>
        <w:t xml:space="preserve">From the </w:t>
      </w:r>
      <w:r w:rsidRPr="00947AC0">
        <w:rPr>
          <w:rFonts w:cs="Arial"/>
          <w:i/>
          <w:iCs/>
          <w:szCs w:val="22"/>
        </w:rPr>
        <w:t>New York Times</w:t>
      </w:r>
      <w:r w:rsidRPr="00947AC0">
        <w:rPr>
          <w:rFonts w:cs="Arial"/>
          <w:szCs w:val="22"/>
        </w:rPr>
        <w:t xml:space="preserve">: </w:t>
      </w:r>
    </w:p>
    <w:p w14:paraId="336D8235" w14:textId="77777777" w:rsidR="00B260C0" w:rsidRPr="00947AC0" w:rsidRDefault="00B260C0" w:rsidP="00B260C0">
      <w:pPr>
        <w:pStyle w:val="ListParagraph"/>
        <w:numPr>
          <w:ilvl w:val="1"/>
          <w:numId w:val="7"/>
        </w:numPr>
        <w:rPr>
          <w:rStyle w:val="Hyperlink"/>
          <w:rFonts w:cs="Arial"/>
          <w:color w:val="auto"/>
          <w:szCs w:val="22"/>
          <w:u w:val="none"/>
        </w:rPr>
      </w:pPr>
      <w:r w:rsidRPr="00947AC0">
        <w:rPr>
          <w:rFonts w:cs="Arial"/>
          <w:szCs w:val="22"/>
        </w:rPr>
        <w:t xml:space="preserve">“Why Rural America Needs Immigrants,” </w:t>
      </w:r>
      <w:hyperlink r:id="rId17" w:history="1">
        <w:r w:rsidRPr="00947AC0">
          <w:rPr>
            <w:rStyle w:val="Hyperlink"/>
            <w:rFonts w:cs="Arial"/>
            <w:szCs w:val="22"/>
          </w:rPr>
          <w:t>https://www.nytimes.com/2021/07/21/opinion/rural-america-immigrants.html?referringSource=articleShare=</w:t>
        </w:r>
      </w:hyperlink>
    </w:p>
    <w:p w14:paraId="0B28F6A3" w14:textId="77777777" w:rsidR="00B260C0" w:rsidRPr="00947AC0" w:rsidRDefault="00B260C0" w:rsidP="00B260C0">
      <w:pPr>
        <w:pStyle w:val="ListParagraph"/>
        <w:numPr>
          <w:ilvl w:val="1"/>
          <w:numId w:val="7"/>
        </w:numPr>
        <w:rPr>
          <w:rStyle w:val="Hyperlink"/>
          <w:rFonts w:cs="Arial"/>
          <w:color w:val="auto"/>
          <w:szCs w:val="22"/>
          <w:u w:val="none"/>
        </w:rPr>
      </w:pPr>
      <w:r w:rsidRPr="00947AC0">
        <w:rPr>
          <w:rFonts w:cs="Arial"/>
          <w:szCs w:val="22"/>
        </w:rPr>
        <w:t xml:space="preserve">“Lost Lives, Lost Culture: The Forgotten History of Indigenous Boarding Schools,” </w:t>
      </w:r>
      <w:hyperlink r:id="rId18" w:tgtFrame="_blank" w:history="1">
        <w:r w:rsidRPr="00947AC0">
          <w:rPr>
            <w:rStyle w:val="Hyperlink"/>
            <w:rFonts w:cs="Arial"/>
            <w:szCs w:val="22"/>
          </w:rPr>
          <w:t>https://www.nytimes.com/2021/07/19/us/us-canada-indigenous-boarding-residential-schools.html?referringSource=articleShare</w:t>
        </w:r>
      </w:hyperlink>
    </w:p>
    <w:p w14:paraId="3D8A745A" w14:textId="77777777" w:rsidR="00B260C0" w:rsidRPr="00947AC0" w:rsidRDefault="00B260C0" w:rsidP="00B260C0">
      <w:pPr>
        <w:pStyle w:val="ListParagraph"/>
        <w:numPr>
          <w:ilvl w:val="1"/>
          <w:numId w:val="7"/>
        </w:numPr>
        <w:rPr>
          <w:rStyle w:val="Hyperlink"/>
          <w:rFonts w:cs="Arial"/>
          <w:color w:val="auto"/>
          <w:szCs w:val="22"/>
          <w:u w:val="none"/>
        </w:rPr>
      </w:pPr>
      <w:r w:rsidRPr="00947AC0">
        <w:rPr>
          <w:rFonts w:cs="Arial"/>
          <w:szCs w:val="22"/>
        </w:rPr>
        <w:t xml:space="preserve">“You Just Feel Like Nothing: California to Pay Sterilization Victims,” </w:t>
      </w:r>
      <w:hyperlink r:id="rId19" w:history="1">
        <w:r w:rsidRPr="00947AC0">
          <w:rPr>
            <w:rStyle w:val="Hyperlink"/>
            <w:rFonts w:cs="Arial"/>
            <w:szCs w:val="22"/>
          </w:rPr>
          <w:t>https://www.nytimes.com/2021/07/11/us/california-reparations-eugenics.html?referringSource=articleShare</w:t>
        </w:r>
      </w:hyperlink>
    </w:p>
    <w:p w14:paraId="039E6FD3" w14:textId="77777777" w:rsidR="00B260C0" w:rsidRPr="00947AC0" w:rsidRDefault="00B260C0" w:rsidP="00B260C0">
      <w:pPr>
        <w:pStyle w:val="ListParagraph"/>
        <w:numPr>
          <w:ilvl w:val="1"/>
          <w:numId w:val="7"/>
        </w:numPr>
        <w:rPr>
          <w:rFonts w:cs="Arial"/>
          <w:szCs w:val="22"/>
        </w:rPr>
      </w:pPr>
      <w:r w:rsidRPr="00947AC0">
        <w:rPr>
          <w:rFonts w:cs="Arial"/>
          <w:szCs w:val="22"/>
        </w:rPr>
        <w:t xml:space="preserve">“’You Can Feel the Tension’: A Windfall for Minority Farmers Divides Rural America,”  </w:t>
      </w:r>
      <w:hyperlink r:id="rId20" w:tgtFrame="_blank" w:history="1">
        <w:r w:rsidRPr="00947AC0">
          <w:rPr>
            <w:rStyle w:val="Hyperlink"/>
            <w:rFonts w:cs="Arial"/>
            <w:szCs w:val="22"/>
          </w:rPr>
          <w:t>https://www.nytimes.com/2021/05/22/us/black-farmers.html?smid=em-share</w:t>
        </w:r>
      </w:hyperlink>
      <w:r w:rsidRPr="00947AC0">
        <w:rPr>
          <w:rFonts w:cs="Arial"/>
          <w:szCs w:val="22"/>
        </w:rPr>
        <w:t>.</w:t>
      </w:r>
    </w:p>
    <w:p w14:paraId="70349DEF" w14:textId="77777777" w:rsidR="00B260C0" w:rsidRPr="00947AC0" w:rsidRDefault="00B260C0" w:rsidP="00B260C0">
      <w:pPr>
        <w:rPr>
          <w:szCs w:val="22"/>
        </w:rPr>
      </w:pPr>
    </w:p>
    <w:p w14:paraId="019C8B40" w14:textId="77777777" w:rsidR="00B260C0" w:rsidRPr="00CB02FF" w:rsidRDefault="00B260C0" w:rsidP="00FA2C34">
      <w:pPr>
        <w:rPr>
          <w:b/>
          <w:bCs/>
        </w:rPr>
      </w:pPr>
    </w:p>
    <w:sectPr w:rsidR="00B260C0" w:rsidRPr="00CB02FF">
      <w:footerReference w:type="even"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B57AA" w14:textId="77777777" w:rsidR="002A6D03" w:rsidRDefault="002A6D03" w:rsidP="00FA2C34">
      <w:r>
        <w:separator/>
      </w:r>
    </w:p>
  </w:endnote>
  <w:endnote w:type="continuationSeparator" w:id="0">
    <w:p w14:paraId="5FC65247" w14:textId="77777777" w:rsidR="002A6D03" w:rsidRDefault="002A6D03" w:rsidP="00FA2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thelas">
    <w:panose1 w:val="02000503000000020003"/>
    <w:charset w:val="4D"/>
    <w:family w:val="auto"/>
    <w:pitch w:val="variable"/>
    <w:sig w:usb0="A00000AF" w:usb1="5000205B" w:usb2="00000000" w:usb3="00000000" w:csb0="0000009B"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6936313"/>
      <w:docPartObj>
        <w:docPartGallery w:val="Page Numbers (Bottom of Page)"/>
        <w:docPartUnique/>
      </w:docPartObj>
    </w:sdtPr>
    <w:sdtContent>
      <w:p w14:paraId="69AEBBA8" w14:textId="21216423" w:rsidR="00246089" w:rsidRDefault="00246089" w:rsidP="00B372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52EF2F" w14:textId="77777777" w:rsidR="00246089" w:rsidRDefault="00246089" w:rsidP="002460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0909132"/>
      <w:docPartObj>
        <w:docPartGallery w:val="Page Numbers (Bottom of Page)"/>
        <w:docPartUnique/>
      </w:docPartObj>
    </w:sdtPr>
    <w:sdtContent>
      <w:p w14:paraId="7D129122" w14:textId="548B2A7A" w:rsidR="00246089" w:rsidRDefault="00246089" w:rsidP="00B372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D4E99A" w14:textId="77777777" w:rsidR="00246089" w:rsidRDefault="00246089" w:rsidP="002460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F1660" w14:textId="77777777" w:rsidR="002A6D03" w:rsidRDefault="002A6D03" w:rsidP="00FA2C34">
      <w:r>
        <w:separator/>
      </w:r>
    </w:p>
  </w:footnote>
  <w:footnote w:type="continuationSeparator" w:id="0">
    <w:p w14:paraId="6D6A7CC0" w14:textId="77777777" w:rsidR="002A6D03" w:rsidRDefault="002A6D03" w:rsidP="00FA2C34">
      <w:r>
        <w:continuationSeparator/>
      </w:r>
    </w:p>
  </w:footnote>
  <w:footnote w:id="1">
    <w:p w14:paraId="777A71E1" w14:textId="77777777" w:rsidR="00FA2C34" w:rsidRDefault="00FA2C34" w:rsidP="00FA2C34">
      <w:pPr>
        <w:pStyle w:val="FootnoteText"/>
      </w:pPr>
      <w:r>
        <w:rPr>
          <w:rStyle w:val="FootnoteReference"/>
        </w:rPr>
        <w:footnoteRef/>
      </w:r>
      <w:r>
        <w:t xml:space="preserve"> Edgar Villanueva, </w:t>
      </w:r>
      <w:r>
        <w:rPr>
          <w:i/>
          <w:iCs/>
        </w:rPr>
        <w:t xml:space="preserve">Decolonizing Wealth </w:t>
      </w:r>
      <w:r>
        <w:t xml:space="preserve">(Oakland: Berrett-Koehler, 2018), 141. </w:t>
      </w:r>
    </w:p>
  </w:footnote>
  <w:footnote w:id="2">
    <w:p w14:paraId="2F6FC757" w14:textId="77777777" w:rsidR="00FA2C34" w:rsidRPr="00FD6A1C" w:rsidRDefault="00FA2C34" w:rsidP="00FA2C34">
      <w:pPr>
        <w:pStyle w:val="FootnoteText"/>
        <w:tabs>
          <w:tab w:val="right" w:pos="9360"/>
        </w:tabs>
      </w:pPr>
      <w:r>
        <w:rPr>
          <w:rStyle w:val="FootnoteReference"/>
        </w:rPr>
        <w:footnoteRef/>
      </w:r>
      <w:r>
        <w:t xml:space="preserve"> Gaby Strong, “Building Indigenous Power in Philanthropy,” in NDN Collective, </w:t>
      </w:r>
      <w:r>
        <w:rPr>
          <w:i/>
          <w:iCs/>
        </w:rPr>
        <w:t>Required Reading</w:t>
      </w:r>
      <w:r>
        <w:t xml:space="preserve">, 260. Strong, an enrolled citizen of the Sisseton-Wahpeton Dakota </w:t>
      </w:r>
      <w:proofErr w:type="spellStart"/>
      <w:r>
        <w:t>Oyote</w:t>
      </w:r>
      <w:proofErr w:type="spellEnd"/>
      <w:r>
        <w:t>, is managing director of the NDN Collective Foundation.</w:t>
      </w:r>
      <w:r>
        <w:tab/>
      </w:r>
    </w:p>
  </w:footnote>
  <w:footnote w:id="3">
    <w:p w14:paraId="069B3779" w14:textId="77777777" w:rsidR="00FA2C34" w:rsidRPr="00D91407" w:rsidRDefault="00FA2C34" w:rsidP="00FA2C34">
      <w:pPr>
        <w:pStyle w:val="FootnoteText"/>
      </w:pPr>
      <w:r>
        <w:rPr>
          <w:rStyle w:val="FootnoteReference"/>
        </w:rPr>
        <w:footnoteRef/>
      </w:r>
      <w:r>
        <w:t xml:space="preserve"> Villanueva, </w:t>
      </w:r>
      <w:r>
        <w:rPr>
          <w:i/>
          <w:iCs/>
        </w:rPr>
        <w:t>Decolonizing Wealth</w:t>
      </w:r>
      <w:r>
        <w:t xml:space="preserve">, 130. </w:t>
      </w:r>
    </w:p>
  </w:footnote>
  <w:footnote w:id="4">
    <w:p w14:paraId="0BABCCD7" w14:textId="77777777" w:rsidR="00FA2C34" w:rsidRDefault="00FA2C34" w:rsidP="00FA2C34">
      <w:pPr>
        <w:pStyle w:val="FootnoteText"/>
      </w:pPr>
      <w:r>
        <w:rPr>
          <w:rStyle w:val="FootnoteReference"/>
        </w:rPr>
        <w:footnoteRef/>
      </w:r>
      <w:r>
        <w:t xml:space="preserve"> F</w:t>
      </w:r>
      <w:r w:rsidRPr="00C472E7">
        <w:t xml:space="preserve">rom </w:t>
      </w:r>
      <w:r w:rsidRPr="00C472E7">
        <w:rPr>
          <w:shd w:val="clear" w:color="auto" w:fill="FFFFFF"/>
        </w:rPr>
        <w:t xml:space="preserve">an excerpt of a speech delivered by </w:t>
      </w:r>
      <w:proofErr w:type="spellStart"/>
      <w:r w:rsidRPr="00C472E7">
        <w:rPr>
          <w:shd w:val="clear" w:color="auto" w:fill="FFFFFF"/>
        </w:rPr>
        <w:t>Ibram</w:t>
      </w:r>
      <w:proofErr w:type="spellEnd"/>
      <w:r w:rsidRPr="00C472E7">
        <w:rPr>
          <w:shd w:val="clear" w:color="auto" w:fill="FFFFFF"/>
        </w:rPr>
        <w:t xml:space="preserve"> X. </w:t>
      </w:r>
      <w:proofErr w:type="spellStart"/>
      <w:r w:rsidRPr="00C472E7">
        <w:rPr>
          <w:shd w:val="clear" w:color="auto" w:fill="FFFFFF"/>
        </w:rPr>
        <w:t>Kendi</w:t>
      </w:r>
      <w:proofErr w:type="spellEnd"/>
      <w:r w:rsidRPr="00C472E7">
        <w:rPr>
          <w:shd w:val="clear" w:color="auto" w:fill="FFFFFF"/>
        </w:rPr>
        <w:t xml:space="preserve"> at U-California-Berkeley on September 12, 2019</w:t>
      </w:r>
    </w:p>
  </w:footnote>
  <w:footnote w:id="5">
    <w:p w14:paraId="1080A0DB" w14:textId="77777777" w:rsidR="00FA2C34" w:rsidRDefault="00FA2C34" w:rsidP="00FA2C34">
      <w:pPr>
        <w:pStyle w:val="FootnoteText"/>
      </w:pPr>
      <w:r>
        <w:rPr>
          <w:rStyle w:val="FootnoteReference"/>
        </w:rPr>
        <w:footnoteRef/>
      </w:r>
      <w:r>
        <w:t xml:space="preserve"> </w:t>
      </w:r>
      <w:r>
        <w:rPr>
          <w:color w:val="222222"/>
        </w:rPr>
        <w:t>Q</w:t>
      </w:r>
      <w:r w:rsidRPr="0039611A">
        <w:rPr>
          <w:color w:val="222222"/>
        </w:rPr>
        <w:t>uote appears in a chapter in "Federal Reserve Bank of St. Louis, Investing in Rural Prosperity (2021), page 47.</w:t>
      </w:r>
    </w:p>
  </w:footnote>
  <w:footnote w:id="6">
    <w:p w14:paraId="31A79C0B" w14:textId="18C236AD" w:rsidR="00FA2C34" w:rsidRDefault="00FA2C34" w:rsidP="00FA2C34">
      <w:pPr>
        <w:pStyle w:val="FootnoteText"/>
      </w:pPr>
      <w:r>
        <w:rPr>
          <w:rStyle w:val="FootnoteReference"/>
        </w:rPr>
        <w:footnoteRef/>
      </w:r>
      <w:r>
        <w:t xml:space="preserve"> Just</w:t>
      </w:r>
      <w:r w:rsidRPr="0019688E">
        <w:t xml:space="preserve"> achieving diversity within most institutions that </w:t>
      </w:r>
      <w:r w:rsidR="00246089">
        <w:t>w</w:t>
      </w:r>
      <w:r w:rsidRPr="0019688E">
        <w:t>hite people have controlled for decades has been challenging</w:t>
      </w:r>
      <w:r>
        <w:t>, with only slow progress</w:t>
      </w:r>
      <w:r w:rsidRPr="0019688E">
        <w:t>. For instance, in 2021 only 17% of the directors of boards of the 3,000 largest US companies (in the Russell 3000 Index</w:t>
      </w:r>
      <w:r>
        <w:t>)</w:t>
      </w:r>
      <w:r w:rsidRPr="0019688E">
        <w:t xml:space="preserve"> </w:t>
      </w:r>
      <w:r>
        <w:t>we</w:t>
      </w:r>
      <w:r w:rsidRPr="0019688E">
        <w:t xml:space="preserve">re people of color. </w:t>
      </w:r>
      <w:r>
        <w:t>Meanwhile, i</w:t>
      </w:r>
      <w:r w:rsidRPr="0019688E">
        <w:t xml:space="preserve">n December 2021, 17 states sued to prevent Nasdaq from implementing a rule requiring listed firms to </w:t>
      </w:r>
      <w:r w:rsidRPr="0019688E">
        <w:rPr>
          <w:color w:val="231F20"/>
          <w:shd w:val="clear" w:color="auto" w:fill="FFFFFF"/>
        </w:rPr>
        <w:t xml:space="preserve">disclose the demographics of their boards; those that don’t have any self-identified women and at least one underrepresented minority or LGBTQ+ person have to explain why not. </w:t>
      </w:r>
      <w:r w:rsidRPr="0019688E">
        <w:t xml:space="preserve">See </w:t>
      </w:r>
      <w:hyperlink r:id="rId1" w:history="1">
        <w:r w:rsidRPr="0019688E">
          <w:rPr>
            <w:rStyle w:val="Hyperlink"/>
          </w:rPr>
          <w:t>https://www.nytimes.com/2022/01/03/business/corporate-board-diversity.html</w:t>
        </w:r>
      </w:hyperlink>
      <w:r w:rsidRPr="0019688E">
        <w:t xml:space="preserve"> and </w:t>
      </w:r>
      <w:hyperlink r:id="rId2" w:history="1">
        <w:r w:rsidRPr="0019688E">
          <w:rPr>
            <w:rStyle w:val="Hyperlink"/>
          </w:rPr>
          <w:t>https://www.seattletimes.com/business/gop-led-states-slam-crude-and-odious-nasdaq-diversity-rule/</w:t>
        </w:r>
      </w:hyperlink>
      <w:r w:rsidRPr="0019688E">
        <w:t xml:space="preserve">.  </w:t>
      </w:r>
    </w:p>
  </w:footnote>
  <w:footnote w:id="7">
    <w:p w14:paraId="061A2B77" w14:textId="77777777" w:rsidR="00FA2C34" w:rsidRDefault="00FA2C34" w:rsidP="00FA2C34">
      <w:pPr>
        <w:pStyle w:val="FootnoteText"/>
      </w:pPr>
      <w:r>
        <w:rPr>
          <w:rStyle w:val="FootnoteReference"/>
        </w:rPr>
        <w:footnoteRef/>
      </w:r>
      <w:r>
        <w:t xml:space="preserve"> “Centering Equity in Collective Impact,” 43.</w:t>
      </w:r>
    </w:p>
  </w:footnote>
  <w:footnote w:id="8">
    <w:p w14:paraId="35022310" w14:textId="77777777" w:rsidR="00FA2C34" w:rsidRDefault="00FA2C34" w:rsidP="00FA2C34">
      <w:pPr>
        <w:pStyle w:val="FootnoteText"/>
      </w:pPr>
      <w:r>
        <w:rPr>
          <w:rStyle w:val="FootnoteReference"/>
        </w:rPr>
        <w:footnoteRef/>
      </w:r>
      <w:r>
        <w:t xml:space="preserve"> “Centering Equity in Collective Impact,” 45. </w:t>
      </w:r>
    </w:p>
  </w:footnote>
  <w:footnote w:id="9">
    <w:p w14:paraId="2E07E472" w14:textId="77777777" w:rsidR="00FA2C34" w:rsidRDefault="00FA2C34" w:rsidP="00FA2C34">
      <w:pPr>
        <w:pStyle w:val="FootnoteText"/>
      </w:pPr>
      <w:r>
        <w:rPr>
          <w:rStyle w:val="FootnoteReference"/>
        </w:rPr>
        <w:footnoteRef/>
      </w:r>
      <w:r>
        <w:t xml:space="preserve"> From </w:t>
      </w:r>
      <w:proofErr w:type="spellStart"/>
      <w:r>
        <w:t>PolicyLink</w:t>
      </w:r>
      <w:proofErr w:type="spellEnd"/>
      <w:r>
        <w:t xml:space="preserve">, “The Equity Manifesto,” </w:t>
      </w:r>
      <w:hyperlink r:id="rId3" w:history="1">
        <w:r w:rsidRPr="009034AE">
          <w:rPr>
            <w:rStyle w:val="Hyperlink"/>
          </w:rPr>
          <w:t>https://www.policylink.org/about-us/equity-manifesto</w:t>
        </w:r>
      </w:hyperlink>
      <w:r>
        <w:t xml:space="preserve">. </w:t>
      </w:r>
    </w:p>
  </w:footnote>
  <w:footnote w:id="10">
    <w:p w14:paraId="4B4ADB6E" w14:textId="77777777" w:rsidR="00B260C0" w:rsidRDefault="00B260C0" w:rsidP="00B260C0">
      <w:pPr>
        <w:pStyle w:val="FootnoteText"/>
      </w:pPr>
      <w:r>
        <w:rPr>
          <w:rStyle w:val="FootnoteReference"/>
        </w:rPr>
        <w:footnoteRef/>
      </w:r>
      <w:r>
        <w:t xml:space="preserve"> Per </w:t>
      </w:r>
      <w:hyperlink r:id="rId4" w:history="1">
        <w:r w:rsidRPr="00C631A7">
          <w:rPr>
            <w:rStyle w:val="Hyperlink"/>
          </w:rPr>
          <w:t>https://www.ers.usda.gov/webdocs/publications/102576/eib-230.pdf?v=4409</w:t>
        </w:r>
      </w:hyperlink>
      <w:r>
        <w:t xml:space="preserve"> </w:t>
      </w:r>
    </w:p>
  </w:footnote>
  <w:footnote w:id="11">
    <w:p w14:paraId="11D0E986" w14:textId="77777777" w:rsidR="00B260C0" w:rsidRDefault="00B260C0" w:rsidP="00B260C0">
      <w:pPr>
        <w:pStyle w:val="FootnoteText"/>
      </w:pPr>
      <w:r>
        <w:rPr>
          <w:rStyle w:val="FootnoteReference"/>
        </w:rPr>
        <w:footnoteRef/>
      </w:r>
      <w:r>
        <w:t xml:space="preserve"> We noted that some of the states with these counties—Alabama, Arizona, Oklahoma, and Texas—are among those in which state legislatures have imposed new voting restrictions, clearly aimed at minority voters. Some—Alabama, Florida, Georgia, Oklahoma, South Carolina, and Texas—are among those in which legislatures have restricted the teaching of Critical Race Theory or limited how teachers can discuss racism. In 44 of the 151 majority-minority counties, majorities of voters voted for the Republican presidential candidate in the 2020 election; this compared with 30 counties voting for the Republican in 2008.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B4693"/>
    <w:multiLevelType w:val="multilevel"/>
    <w:tmpl w:val="749E3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9A4027"/>
    <w:multiLevelType w:val="hybridMultilevel"/>
    <w:tmpl w:val="0A246B3C"/>
    <w:lvl w:ilvl="0" w:tplc="D07802F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621641"/>
    <w:multiLevelType w:val="hybridMultilevel"/>
    <w:tmpl w:val="174AD5D4"/>
    <w:lvl w:ilvl="0" w:tplc="B41C4862">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6328DC"/>
    <w:multiLevelType w:val="hybridMultilevel"/>
    <w:tmpl w:val="BBC02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BB27F8"/>
    <w:multiLevelType w:val="hybridMultilevel"/>
    <w:tmpl w:val="E416DEF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176A54"/>
    <w:multiLevelType w:val="hybridMultilevel"/>
    <w:tmpl w:val="5D145044"/>
    <w:lvl w:ilvl="0" w:tplc="FFFFFFFF">
      <w:start w:val="1"/>
      <w:numFmt w:val="bullet"/>
      <w:lvlText w:val=""/>
      <w:lvlJc w:val="left"/>
      <w:pPr>
        <w:ind w:left="720" w:hanging="360"/>
      </w:pPr>
      <w:rPr>
        <w:rFonts w:ascii="Symbol" w:eastAsiaTheme="minorHAnsi" w:hAnsi="Symbol" w:cs="Book Antiqua" w:hint="default"/>
        <w:b/>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B811333"/>
    <w:multiLevelType w:val="hybridMultilevel"/>
    <w:tmpl w:val="95B6F178"/>
    <w:lvl w:ilvl="0" w:tplc="18221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9830F7"/>
    <w:multiLevelType w:val="hybridMultilevel"/>
    <w:tmpl w:val="7C146B58"/>
    <w:lvl w:ilvl="0" w:tplc="D07802F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DE41196"/>
    <w:multiLevelType w:val="hybridMultilevel"/>
    <w:tmpl w:val="FF981986"/>
    <w:lvl w:ilvl="0" w:tplc="6A2CB518">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F126B8"/>
    <w:multiLevelType w:val="hybridMultilevel"/>
    <w:tmpl w:val="DCE28E4A"/>
    <w:lvl w:ilvl="0" w:tplc="A9C46FEA">
      <w:start w:val="10"/>
      <w:numFmt w:val="bullet"/>
      <w:lvlText w:val=""/>
      <w:lvlJc w:val="left"/>
      <w:pPr>
        <w:ind w:left="720" w:hanging="360"/>
      </w:pPr>
      <w:rPr>
        <w:rFonts w:ascii="Symbol" w:eastAsia="Times New Roman" w:hAnsi="Symbo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735DE6"/>
    <w:multiLevelType w:val="hybridMultilevel"/>
    <w:tmpl w:val="A258ACA6"/>
    <w:lvl w:ilvl="0" w:tplc="CEC2A49E">
      <w:start w:val="2"/>
      <w:numFmt w:val="bullet"/>
      <w:lvlText w:val=""/>
      <w:lvlJc w:val="left"/>
      <w:pPr>
        <w:ind w:left="720" w:hanging="360"/>
      </w:pPr>
      <w:rPr>
        <w:rFonts w:ascii="Symbol" w:eastAsiaTheme="minorHAnsi" w:hAnsi="Symbol" w:cstheme="minorBidi"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3476765">
    <w:abstractNumId w:val="6"/>
  </w:num>
  <w:num w:numId="2" w16cid:durableId="714309179">
    <w:abstractNumId w:val="2"/>
  </w:num>
  <w:num w:numId="3" w16cid:durableId="1885554572">
    <w:abstractNumId w:val="9"/>
  </w:num>
  <w:num w:numId="4" w16cid:durableId="466430963">
    <w:abstractNumId w:val="8"/>
  </w:num>
  <w:num w:numId="5" w16cid:durableId="1306593005">
    <w:abstractNumId w:val="0"/>
  </w:num>
  <w:num w:numId="6" w16cid:durableId="1480927537">
    <w:abstractNumId w:val="3"/>
  </w:num>
  <w:num w:numId="7" w16cid:durableId="2111385992">
    <w:abstractNumId w:val="10"/>
  </w:num>
  <w:num w:numId="8" w16cid:durableId="1816750978">
    <w:abstractNumId w:val="1"/>
  </w:num>
  <w:num w:numId="9" w16cid:durableId="1777172326">
    <w:abstractNumId w:val="7"/>
  </w:num>
  <w:num w:numId="10" w16cid:durableId="855114248">
    <w:abstractNumId w:val="5"/>
  </w:num>
  <w:num w:numId="11" w16cid:durableId="11788097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2FF"/>
    <w:rsid w:val="000877A4"/>
    <w:rsid w:val="00246089"/>
    <w:rsid w:val="002A6D03"/>
    <w:rsid w:val="0079620A"/>
    <w:rsid w:val="00943EBA"/>
    <w:rsid w:val="00A548D4"/>
    <w:rsid w:val="00B260C0"/>
    <w:rsid w:val="00C135C8"/>
    <w:rsid w:val="00CB02FF"/>
    <w:rsid w:val="00EA37A8"/>
    <w:rsid w:val="00F4027A"/>
    <w:rsid w:val="00FA2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D2B51"/>
  <w15:chartTrackingRefBased/>
  <w15:docId w15:val="{7A4F05BC-F7A1-EC45-94E3-5AB764EA0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thelas" w:eastAsiaTheme="minorHAnsi" w:hAnsi="Athelas" w:cs="Times New Roman (Body CS)"/>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2C3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260C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2FF"/>
    <w:pPr>
      <w:ind w:left="720"/>
      <w:contextualSpacing/>
    </w:pPr>
  </w:style>
  <w:style w:type="character" w:customStyle="1" w:styleId="Heading1Char">
    <w:name w:val="Heading 1 Char"/>
    <w:basedOn w:val="DefaultParagraphFont"/>
    <w:link w:val="Heading1"/>
    <w:uiPriority w:val="9"/>
    <w:rsid w:val="00FA2C34"/>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unhideWhenUsed/>
    <w:rsid w:val="00FA2C34"/>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FA2C3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A2C34"/>
    <w:rPr>
      <w:vertAlign w:val="superscript"/>
    </w:rPr>
  </w:style>
  <w:style w:type="table" w:styleId="TableGrid">
    <w:name w:val="Table Grid"/>
    <w:basedOn w:val="TableNormal"/>
    <w:uiPriority w:val="39"/>
    <w:rsid w:val="00FA2C34"/>
    <w:rPr>
      <w:rFonts w:asciiTheme="minorHAnsi" w:hAnsiTheme="minorHAnsi" w:cstheme="minorBid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2C34"/>
    <w:rPr>
      <w:color w:val="0563C1" w:themeColor="hyperlink"/>
      <w:u w:val="single"/>
    </w:rPr>
  </w:style>
  <w:style w:type="character" w:customStyle="1" w:styleId="Heading2Char">
    <w:name w:val="Heading 2 Char"/>
    <w:basedOn w:val="DefaultParagraphFont"/>
    <w:link w:val="Heading2"/>
    <w:uiPriority w:val="9"/>
    <w:rsid w:val="00B260C0"/>
    <w:rPr>
      <w:rFonts w:asciiTheme="majorHAnsi" w:eastAsiaTheme="majorEastAsia" w:hAnsiTheme="majorHAnsi" w:cstheme="majorBidi"/>
      <w:color w:val="2F5496" w:themeColor="accent1" w:themeShade="BF"/>
      <w:sz w:val="26"/>
      <w:szCs w:val="26"/>
    </w:rPr>
  </w:style>
  <w:style w:type="character" w:customStyle="1" w:styleId="CommentTextChar">
    <w:name w:val="Comment Text Char"/>
    <w:basedOn w:val="DefaultParagraphFont"/>
    <w:link w:val="CommentText"/>
    <w:uiPriority w:val="99"/>
    <w:semiHidden/>
    <w:rsid w:val="00B260C0"/>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B260C0"/>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B260C0"/>
    <w:rPr>
      <w:sz w:val="20"/>
      <w:szCs w:val="20"/>
    </w:rPr>
  </w:style>
  <w:style w:type="character" w:customStyle="1" w:styleId="gmail-apple-converted-space">
    <w:name w:val="gmail-apple-converted-space"/>
    <w:basedOn w:val="DefaultParagraphFont"/>
    <w:rsid w:val="00B260C0"/>
  </w:style>
  <w:style w:type="character" w:styleId="EndnoteReference">
    <w:name w:val="endnote reference"/>
    <w:basedOn w:val="DefaultParagraphFont"/>
    <w:uiPriority w:val="99"/>
    <w:semiHidden/>
    <w:unhideWhenUsed/>
    <w:rsid w:val="00B260C0"/>
    <w:rPr>
      <w:vertAlign w:val="superscript"/>
    </w:rPr>
  </w:style>
  <w:style w:type="paragraph" w:styleId="Footer">
    <w:name w:val="footer"/>
    <w:basedOn w:val="Normal"/>
    <w:link w:val="FooterChar"/>
    <w:uiPriority w:val="99"/>
    <w:unhideWhenUsed/>
    <w:rsid w:val="00246089"/>
    <w:pPr>
      <w:tabs>
        <w:tab w:val="center" w:pos="4680"/>
        <w:tab w:val="right" w:pos="9360"/>
      </w:tabs>
    </w:pPr>
  </w:style>
  <w:style w:type="character" w:customStyle="1" w:styleId="FooterChar">
    <w:name w:val="Footer Char"/>
    <w:basedOn w:val="DefaultParagraphFont"/>
    <w:link w:val="Footer"/>
    <w:uiPriority w:val="99"/>
    <w:rsid w:val="00246089"/>
  </w:style>
  <w:style w:type="character" w:styleId="PageNumber">
    <w:name w:val="page number"/>
    <w:basedOn w:val="DefaultParagraphFont"/>
    <w:uiPriority w:val="99"/>
    <w:semiHidden/>
    <w:unhideWhenUsed/>
    <w:rsid w:val="00246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mantlingracism.org" TargetMode="External"/><Relationship Id="rId13" Type="http://schemas.openxmlformats.org/officeDocument/2006/relationships/hyperlink" Target="https://www.brookings.edu/wp-content/uploads/2020/11/201119_global_rural_report_fig1.png" TargetMode="External"/><Relationship Id="rId18" Type="http://schemas.openxmlformats.org/officeDocument/2006/relationships/hyperlink" Target="https://www.nytimes.com/2021/07/19/us/us-canada-indigenous-boarding-residential-schools.html?referringSource=articleShar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reenvisioning-rural-america.urban.org/" TargetMode="External"/><Relationship Id="rId12" Type="http://schemas.openxmlformats.org/officeDocument/2006/relationships/hyperlink" Target="https://ssir.org/articles/entry/equitable_implementation_at_work" TargetMode="External"/><Relationship Id="rId17" Type="http://schemas.openxmlformats.org/officeDocument/2006/relationships/hyperlink" Target="https://www.nytimes.com/2021/07/21/opinion/rural-america-immigrants.html?referringSource=articleShare=" TargetMode="External"/><Relationship Id="rId2" Type="http://schemas.openxmlformats.org/officeDocument/2006/relationships/styles" Target="styles.xml"/><Relationship Id="rId16" Type="http://schemas.openxmlformats.org/officeDocument/2006/relationships/hyperlink" Target="http://www.espn.com/video/clip?id=31797167" TargetMode="External"/><Relationship Id="rId20" Type="http://schemas.openxmlformats.org/officeDocument/2006/relationships/hyperlink" Target="https://www.nytimes.com/2021/05/22/us/black-farmers.html?smid=em-sha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onprofitquarterly.org/generational-differences-in-racial-equity-wor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speninstitute.org/blog-posts/rural-development-hubs-report/" TargetMode="External"/><Relationship Id="rId23" Type="http://schemas.openxmlformats.org/officeDocument/2006/relationships/fontTable" Target="fontTable.xml"/><Relationship Id="rId10" Type="http://schemas.openxmlformats.org/officeDocument/2006/relationships/hyperlink" Target="https://www.justice40accelerator.org" TargetMode="External"/><Relationship Id="rId19" Type="http://schemas.openxmlformats.org/officeDocument/2006/relationships/hyperlink" Target="https://www.nytimes.com/2021/07/11/us/california-reparations-eugenics.html?referringSource=articleShare" TargetMode="External"/><Relationship Id="rId4" Type="http://schemas.openxmlformats.org/officeDocument/2006/relationships/webSettings" Target="webSettings.xml"/><Relationship Id="rId9" Type="http://schemas.openxmlformats.org/officeDocument/2006/relationships/hyperlink" Target="https://www.aspeninstitute.org/publications/rural-development-hubs/" TargetMode="External"/><Relationship Id="rId14" Type="http://schemas.openxmlformats.org/officeDocument/2006/relationships/hyperlink" Target="https://drive.google.com/file/d/1O5IGwsWMjJjG63ekPLA8EBvjz3mXj_8l/view"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policylink.org/about-us/equity-manifesto" TargetMode="External"/><Relationship Id="rId2" Type="http://schemas.openxmlformats.org/officeDocument/2006/relationships/hyperlink" Target="https://www.seattletimes.com/business/gop-led-states-slam-crude-and-odious-nasdaq-diversity-rule/" TargetMode="External"/><Relationship Id="rId1" Type="http://schemas.openxmlformats.org/officeDocument/2006/relationships/hyperlink" Target="https://www.nytimes.com/2022/01/03/business/corporate-board-diversity.html" TargetMode="External"/><Relationship Id="rId4" Type="http://schemas.openxmlformats.org/officeDocument/2006/relationships/hyperlink" Target="https://www.ers.usda.gov/webdocs/publications/102576/eib-230.pdf?v=44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11</Pages>
  <Words>4662</Words>
  <Characters>26580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Plastrik</dc:creator>
  <cp:keywords/>
  <dc:description/>
  <cp:lastModifiedBy>Peter Plastrik</cp:lastModifiedBy>
  <cp:revision>8</cp:revision>
  <dcterms:created xsi:type="dcterms:W3CDTF">2022-04-06T15:54:00Z</dcterms:created>
  <dcterms:modified xsi:type="dcterms:W3CDTF">2022-04-06T17:14:00Z</dcterms:modified>
</cp:coreProperties>
</file>